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1B" w:rsidRPr="009442E7" w:rsidRDefault="006F051B">
      <w:pPr>
        <w:pStyle w:val="NoSpacing"/>
        <w:tabs>
          <w:tab w:val="left" w:pos="567"/>
        </w:tabs>
        <w:jc w:val="both"/>
        <w:rPr>
          <w:rFonts w:cs="Arial"/>
          <w:b/>
          <w:bCs/>
          <w:szCs w:val="24"/>
        </w:rPr>
      </w:pPr>
    </w:p>
    <w:p w:rsidR="006F051B" w:rsidRPr="009442E7" w:rsidRDefault="00003F2E">
      <w:pPr>
        <w:pStyle w:val="NoSpacing"/>
        <w:tabs>
          <w:tab w:val="left" w:pos="567"/>
        </w:tabs>
        <w:jc w:val="both"/>
        <w:rPr>
          <w:rFonts w:cs="Arial"/>
          <w:b/>
          <w:bCs/>
          <w:szCs w:val="24"/>
        </w:rPr>
      </w:pPr>
      <w:r>
        <w:rPr>
          <w:rFonts w:cs="Arial"/>
          <w:b/>
          <w:bCs/>
          <w:szCs w:val="24"/>
        </w:rPr>
        <w:t xml:space="preserve">Item </w:t>
      </w:r>
      <w:r w:rsidR="00D630F9">
        <w:rPr>
          <w:rFonts w:cs="Arial"/>
          <w:b/>
          <w:bCs/>
          <w:szCs w:val="24"/>
        </w:rPr>
        <w:t>6</w:t>
      </w:r>
      <w:r>
        <w:rPr>
          <w:rFonts w:cs="Arial"/>
          <w:b/>
          <w:bCs/>
          <w:szCs w:val="24"/>
        </w:rPr>
        <w:t>.</w:t>
      </w:r>
      <w:r w:rsidR="005D54F2">
        <w:rPr>
          <w:rFonts w:cs="Arial"/>
          <w:b/>
          <w:bCs/>
          <w:szCs w:val="24"/>
        </w:rPr>
        <w:t xml:space="preserve"> </w:t>
      </w:r>
      <w:r w:rsidR="006F051B" w:rsidRPr="009442E7">
        <w:rPr>
          <w:rFonts w:cs="Arial"/>
          <w:b/>
          <w:bCs/>
          <w:szCs w:val="24"/>
        </w:rPr>
        <w:t>L</w:t>
      </w:r>
      <w:r w:rsidR="005D54F2">
        <w:rPr>
          <w:rFonts w:cs="Arial"/>
          <w:b/>
          <w:bCs/>
          <w:szCs w:val="24"/>
        </w:rPr>
        <w:t>EP</w:t>
      </w:r>
      <w:r w:rsidR="006F051B" w:rsidRPr="009442E7">
        <w:rPr>
          <w:rFonts w:cs="Arial"/>
          <w:b/>
          <w:bCs/>
          <w:szCs w:val="24"/>
        </w:rPr>
        <w:t xml:space="preserve"> </w:t>
      </w:r>
      <w:r w:rsidR="00E24EAC">
        <w:rPr>
          <w:rFonts w:cs="Arial"/>
          <w:b/>
          <w:bCs/>
          <w:szCs w:val="24"/>
        </w:rPr>
        <w:t xml:space="preserve">Business Support Management Board </w:t>
      </w:r>
    </w:p>
    <w:p w:rsidR="006F051B" w:rsidRPr="009442E7" w:rsidRDefault="006F051B">
      <w:pPr>
        <w:pStyle w:val="NoSpacing"/>
        <w:tabs>
          <w:tab w:val="left" w:pos="567"/>
        </w:tabs>
        <w:jc w:val="both"/>
        <w:rPr>
          <w:rFonts w:cs="Arial"/>
          <w:b/>
          <w:bCs/>
          <w:szCs w:val="24"/>
        </w:rPr>
      </w:pPr>
      <w:r w:rsidRPr="009442E7">
        <w:rPr>
          <w:rFonts w:cs="Arial"/>
          <w:b/>
          <w:bCs/>
          <w:szCs w:val="24"/>
        </w:rPr>
        <w:t>Private &amp; Confidential</w:t>
      </w:r>
      <w:r w:rsidR="00336126" w:rsidRPr="009442E7">
        <w:rPr>
          <w:rFonts w:cs="Arial"/>
          <w:b/>
          <w:bCs/>
          <w:szCs w:val="24"/>
        </w:rPr>
        <w:t>: NO</w:t>
      </w:r>
    </w:p>
    <w:p w:rsidR="00336126" w:rsidRDefault="00336126">
      <w:pPr>
        <w:pStyle w:val="NoSpacing"/>
        <w:tabs>
          <w:tab w:val="left" w:pos="567"/>
        </w:tabs>
        <w:jc w:val="both"/>
        <w:rPr>
          <w:rFonts w:cs="Arial"/>
          <w:b/>
          <w:bCs/>
          <w:szCs w:val="24"/>
        </w:rPr>
      </w:pPr>
      <w:r w:rsidRPr="009442E7">
        <w:rPr>
          <w:rFonts w:cs="Arial"/>
          <w:b/>
          <w:bCs/>
          <w:szCs w:val="24"/>
        </w:rPr>
        <w:t xml:space="preserve">Date: </w:t>
      </w:r>
      <w:r w:rsidR="004C7794">
        <w:rPr>
          <w:rFonts w:cs="Arial"/>
          <w:b/>
          <w:bCs/>
          <w:szCs w:val="24"/>
        </w:rPr>
        <w:t>20</w:t>
      </w:r>
      <w:r w:rsidR="004C7794" w:rsidRPr="004C7794">
        <w:rPr>
          <w:rFonts w:cs="Arial"/>
          <w:b/>
          <w:bCs/>
          <w:szCs w:val="24"/>
          <w:vertAlign w:val="superscript"/>
        </w:rPr>
        <w:t>th</w:t>
      </w:r>
      <w:r w:rsidR="004C7794">
        <w:rPr>
          <w:rFonts w:cs="Arial"/>
          <w:b/>
          <w:bCs/>
          <w:szCs w:val="24"/>
        </w:rPr>
        <w:t xml:space="preserve"> January 2016</w:t>
      </w:r>
    </w:p>
    <w:p w:rsidR="004C7794" w:rsidRPr="009442E7" w:rsidRDefault="004C7794">
      <w:pPr>
        <w:pStyle w:val="NoSpacing"/>
        <w:tabs>
          <w:tab w:val="left" w:pos="567"/>
        </w:tabs>
        <w:jc w:val="both"/>
        <w:rPr>
          <w:rFonts w:cs="Arial"/>
          <w:b/>
          <w:bCs/>
          <w:szCs w:val="24"/>
        </w:rPr>
      </w:pPr>
    </w:p>
    <w:p w:rsidR="006F051B" w:rsidRDefault="00D275E7" w:rsidP="00003F2E">
      <w:pPr>
        <w:pStyle w:val="NoSpacing"/>
        <w:tabs>
          <w:tab w:val="left" w:pos="567"/>
        </w:tabs>
        <w:rPr>
          <w:b/>
          <w:bCs/>
        </w:rPr>
      </w:pPr>
      <w:r>
        <w:rPr>
          <w:b/>
          <w:bCs/>
        </w:rPr>
        <w:t>Oversight of Key Business Support Initiatives</w:t>
      </w:r>
    </w:p>
    <w:p w:rsidR="00A204D2" w:rsidRPr="009442E7" w:rsidRDefault="00D275E7" w:rsidP="00003F2E">
      <w:pPr>
        <w:pStyle w:val="NoSpacing"/>
        <w:tabs>
          <w:tab w:val="left" w:pos="567"/>
        </w:tabs>
        <w:rPr>
          <w:rFonts w:cs="Arial"/>
          <w:b/>
          <w:bCs/>
          <w:szCs w:val="24"/>
        </w:rPr>
      </w:pPr>
      <w:r>
        <w:rPr>
          <w:rFonts w:cs="Arial"/>
          <w:b/>
          <w:bCs/>
          <w:szCs w:val="24"/>
        </w:rPr>
        <w:t xml:space="preserve">  </w:t>
      </w:r>
    </w:p>
    <w:p w:rsidR="00336126" w:rsidRPr="009442E7" w:rsidRDefault="00336126" w:rsidP="00336126">
      <w:pPr>
        <w:rPr>
          <w:b/>
          <w:sz w:val="24"/>
          <w:szCs w:val="24"/>
        </w:rPr>
      </w:pPr>
      <w:r w:rsidRPr="009442E7">
        <w:rPr>
          <w:b/>
          <w:sz w:val="24"/>
          <w:szCs w:val="24"/>
        </w:rPr>
        <w:t xml:space="preserve">Report Author: Andy Walker, Head of Business Growth </w:t>
      </w:r>
      <w:r w:rsidR="002E2323">
        <w:rPr>
          <w:b/>
          <w:sz w:val="24"/>
          <w:szCs w:val="24"/>
        </w:rPr>
        <w:t>LCC</w:t>
      </w:r>
    </w:p>
    <w:p w:rsidR="00336126" w:rsidRPr="009442E7" w:rsidRDefault="00336126">
      <w:pPr>
        <w:pStyle w:val="NoSpacing"/>
        <w:tabs>
          <w:tab w:val="left" w:pos="567"/>
        </w:tabs>
        <w:jc w:val="both"/>
        <w:rPr>
          <w:rFonts w:cs="Arial"/>
          <w:b/>
          <w:bCs/>
          <w:szCs w:val="24"/>
        </w:rPr>
      </w:pPr>
    </w:p>
    <w:p w:rsidR="006F051B" w:rsidRPr="009442E7" w:rsidRDefault="00F456B2">
      <w:pPr>
        <w:pStyle w:val="NoSpacing"/>
        <w:tabs>
          <w:tab w:val="left" w:pos="567"/>
        </w:tabs>
        <w:rPr>
          <w:rFonts w:cs="Arial"/>
          <w:i/>
          <w:szCs w:val="24"/>
        </w:rPr>
      </w:pPr>
      <w:r w:rsidRPr="009442E7">
        <w:rPr>
          <w:rFonts w:cs="Arial"/>
          <w:i/>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142875</wp:posOffset>
                </wp:positionV>
                <wp:extent cx="5676265" cy="276225"/>
                <wp:effectExtent l="10160" t="6985" r="9525"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76225"/>
                        </a:xfrm>
                        <a:prstGeom prst="rect">
                          <a:avLst/>
                        </a:prstGeom>
                        <a:solidFill>
                          <a:srgbClr val="FFFFFF"/>
                        </a:solidFill>
                        <a:ln w="9525">
                          <a:solidFill>
                            <a:srgbClr val="000000"/>
                          </a:solidFill>
                          <a:miter lim="800000"/>
                          <a:headEnd/>
                          <a:tailEnd/>
                        </a:ln>
                      </wps:spPr>
                      <wps:txbx>
                        <w:txbxContent>
                          <w:p w:rsidR="00BF7856" w:rsidRDefault="00BF7856" w:rsidP="00336126">
                            <w:pPr>
                              <w:jc w:val="both"/>
                              <w:rPr>
                                <w:b/>
                                <w:sz w:val="24"/>
                                <w:szCs w:val="24"/>
                              </w:rPr>
                            </w:pPr>
                            <w:r w:rsidRPr="00336126">
                              <w:rPr>
                                <w:b/>
                                <w:sz w:val="24"/>
                                <w:szCs w:val="24"/>
                              </w:rPr>
                              <w:t>Executive Summary</w:t>
                            </w:r>
                          </w:p>
                          <w:p w:rsidR="00D275E7" w:rsidRDefault="00D275E7" w:rsidP="00336126">
                            <w:pPr>
                              <w:jc w:val="both"/>
                              <w:rPr>
                                <w:b/>
                                <w:sz w:val="24"/>
                                <w:szCs w:val="24"/>
                              </w:rPr>
                            </w:pPr>
                          </w:p>
                          <w:p w:rsidR="00D275E7" w:rsidRPr="00496C93" w:rsidRDefault="00D275E7" w:rsidP="00336126">
                            <w:pPr>
                              <w:jc w:val="both"/>
                              <w:rPr>
                                <w:sz w:val="24"/>
                                <w:szCs w:val="24"/>
                              </w:rPr>
                            </w:pPr>
                            <w:r w:rsidRPr="00496C93">
                              <w:rPr>
                                <w:sz w:val="24"/>
                                <w:szCs w:val="24"/>
                              </w:rPr>
                              <w:t>In addition to planning and shaping the commissioning of future business support initiatives, the Business Support Management Board (BSMB) also has a key responsibility to the LEP to oversee existing activity to ensure that it is well run and delivering for Lancashire.</w:t>
                            </w:r>
                          </w:p>
                          <w:p w:rsidR="00D275E7" w:rsidRPr="00496C93" w:rsidRDefault="00D275E7" w:rsidP="00336126">
                            <w:pPr>
                              <w:jc w:val="both"/>
                              <w:rPr>
                                <w:sz w:val="24"/>
                                <w:szCs w:val="24"/>
                              </w:rPr>
                            </w:pPr>
                          </w:p>
                          <w:p w:rsidR="00D275E7" w:rsidRPr="00496C93" w:rsidRDefault="00D275E7" w:rsidP="00336126">
                            <w:pPr>
                              <w:jc w:val="both"/>
                              <w:rPr>
                                <w:sz w:val="24"/>
                                <w:szCs w:val="24"/>
                              </w:rPr>
                            </w:pPr>
                            <w:r w:rsidRPr="00496C93">
                              <w:rPr>
                                <w:sz w:val="24"/>
                                <w:szCs w:val="24"/>
                              </w:rPr>
                              <w:t xml:space="preserve">This report focusses of two key projects, both of which are seeking to transition into new formats.  They are Boost – Lancashire's Business Growth Hub and the North West Fund which delivers business finance solutions across the region. </w:t>
                            </w:r>
                          </w:p>
                          <w:p w:rsidR="00D275E7" w:rsidRPr="00496C93" w:rsidRDefault="00D275E7" w:rsidP="00336126">
                            <w:pPr>
                              <w:jc w:val="both"/>
                              <w:rPr>
                                <w:b/>
                                <w:sz w:val="24"/>
                                <w:szCs w:val="24"/>
                              </w:rPr>
                            </w:pPr>
                          </w:p>
                          <w:p w:rsidR="00BF7856" w:rsidRPr="00496C93" w:rsidRDefault="00BF7856" w:rsidP="00E53FA1">
                            <w:pPr>
                              <w:pStyle w:val="PlainText"/>
                              <w:ind w:left="993"/>
                              <w:jc w:val="both"/>
                              <w:rPr>
                                <w:rFonts w:ascii="Arial" w:hAnsi="Arial" w:cs="Arial"/>
                                <w:sz w:val="24"/>
                                <w:szCs w:val="24"/>
                              </w:rPr>
                            </w:pPr>
                          </w:p>
                          <w:p w:rsidR="00BF7856" w:rsidRPr="00496C93" w:rsidRDefault="00BF7856">
                            <w:pPr>
                              <w:pStyle w:val="ListParagraph"/>
                              <w:ind w:left="0"/>
                              <w:jc w:val="both"/>
                              <w:rPr>
                                <w:rFonts w:ascii="Arial" w:hAnsi="Arial" w:cs="Arial"/>
                                <w:b/>
                                <w:sz w:val="24"/>
                                <w:szCs w:val="24"/>
                              </w:rPr>
                            </w:pPr>
                            <w:r w:rsidRPr="00496C93">
                              <w:rPr>
                                <w:rFonts w:ascii="Arial" w:hAnsi="Arial" w:cs="Arial"/>
                                <w:b/>
                                <w:sz w:val="24"/>
                                <w:szCs w:val="24"/>
                              </w:rPr>
                              <w:t>Recommendation</w:t>
                            </w:r>
                          </w:p>
                          <w:p w:rsidR="00BF7856" w:rsidRPr="00496C93" w:rsidRDefault="00BF7856">
                            <w:pPr>
                              <w:pStyle w:val="ListParagraph"/>
                              <w:ind w:left="0"/>
                              <w:jc w:val="both"/>
                              <w:rPr>
                                <w:rFonts w:ascii="Arial" w:hAnsi="Arial" w:cs="Arial"/>
                                <w:b/>
                                <w:sz w:val="24"/>
                                <w:szCs w:val="24"/>
                              </w:rPr>
                            </w:pPr>
                          </w:p>
                          <w:p w:rsidR="00BF7856" w:rsidRPr="00496C93" w:rsidRDefault="00BF7856" w:rsidP="00D563DE">
                            <w:pPr>
                              <w:rPr>
                                <w:sz w:val="24"/>
                                <w:szCs w:val="24"/>
                              </w:rPr>
                            </w:pPr>
                            <w:r w:rsidRPr="00496C93">
                              <w:rPr>
                                <w:sz w:val="24"/>
                                <w:szCs w:val="24"/>
                              </w:rPr>
                              <w:t>The LEP BSM Board is asked to:</w:t>
                            </w:r>
                            <w:r w:rsidR="008C36DC" w:rsidRPr="00496C93">
                              <w:rPr>
                                <w:sz w:val="24"/>
                                <w:szCs w:val="24"/>
                              </w:rPr>
                              <w:br/>
                            </w:r>
                          </w:p>
                          <w:p w:rsidR="005D54F2" w:rsidRPr="00496C93" w:rsidRDefault="00D90512" w:rsidP="00CC0469">
                            <w:pPr>
                              <w:pStyle w:val="ListParagraph"/>
                              <w:numPr>
                                <w:ilvl w:val="0"/>
                                <w:numId w:val="1"/>
                              </w:numPr>
                              <w:spacing w:after="200" w:line="276" w:lineRule="auto"/>
                              <w:rPr>
                                <w:rFonts w:ascii="Arial" w:hAnsi="Arial" w:cs="Arial"/>
                                <w:sz w:val="24"/>
                                <w:szCs w:val="24"/>
                              </w:rPr>
                            </w:pPr>
                            <w:r w:rsidRPr="00496C93">
                              <w:rPr>
                                <w:rFonts w:ascii="Arial" w:hAnsi="Arial" w:cs="Arial"/>
                                <w:sz w:val="24"/>
                                <w:szCs w:val="24"/>
                              </w:rPr>
                              <w:t xml:space="preserve">note progress </w:t>
                            </w:r>
                            <w:r w:rsidR="00D275E7" w:rsidRPr="00496C93">
                              <w:rPr>
                                <w:rFonts w:ascii="Arial" w:hAnsi="Arial" w:cs="Arial"/>
                                <w:sz w:val="24"/>
                                <w:szCs w:val="24"/>
                              </w:rPr>
                              <w:t>of the Boost and NW Fund within Lancashire</w:t>
                            </w:r>
                            <w:r w:rsidRPr="00496C93">
                              <w:rPr>
                                <w:rFonts w:ascii="Arial" w:hAnsi="Arial" w:cs="Arial"/>
                                <w:sz w:val="24"/>
                                <w:szCs w:val="24"/>
                              </w:rPr>
                              <w:t xml:space="preserve">, </w:t>
                            </w:r>
                          </w:p>
                          <w:p w:rsidR="00D275E7" w:rsidRPr="00496C93" w:rsidRDefault="00466A20" w:rsidP="00CC0469">
                            <w:pPr>
                              <w:pStyle w:val="ListParagraph"/>
                              <w:numPr>
                                <w:ilvl w:val="0"/>
                                <w:numId w:val="1"/>
                              </w:numPr>
                              <w:rPr>
                                <w:sz w:val="24"/>
                                <w:szCs w:val="24"/>
                              </w:rPr>
                            </w:pPr>
                            <w:r w:rsidRPr="00496C93">
                              <w:rPr>
                                <w:rFonts w:ascii="Arial" w:hAnsi="Arial" w:cs="Arial"/>
                                <w:sz w:val="24"/>
                                <w:szCs w:val="24"/>
                              </w:rPr>
                              <w:t>c</w:t>
                            </w:r>
                            <w:r w:rsidR="00D275E7" w:rsidRPr="00496C93">
                              <w:rPr>
                                <w:rFonts w:ascii="Arial" w:hAnsi="Arial" w:cs="Arial"/>
                                <w:sz w:val="24"/>
                                <w:szCs w:val="24"/>
                              </w:rPr>
                              <w:t>ommit to actively oversee the development of these projects in their new form</w:t>
                            </w:r>
                          </w:p>
                          <w:p w:rsidR="003C7194" w:rsidRPr="00496C93" w:rsidRDefault="003C7194" w:rsidP="00CC0469">
                            <w:pPr>
                              <w:pStyle w:val="ListParagraph"/>
                              <w:numPr>
                                <w:ilvl w:val="0"/>
                                <w:numId w:val="1"/>
                              </w:numPr>
                              <w:rPr>
                                <w:sz w:val="24"/>
                                <w:szCs w:val="24"/>
                              </w:rPr>
                            </w:pPr>
                            <w:r w:rsidRPr="00496C93">
                              <w:rPr>
                                <w:rFonts w:ascii="Arial" w:hAnsi="Arial" w:cs="Arial"/>
                                <w:sz w:val="24"/>
                                <w:szCs w:val="24"/>
                              </w:rPr>
                              <w:t xml:space="preserve">Seek an update from the Lancashire Business Grant Programme </w:t>
                            </w:r>
                          </w:p>
                          <w:p w:rsidR="00BF7856" w:rsidRPr="00AE3F3C" w:rsidRDefault="00D275E7" w:rsidP="00D275E7">
                            <w:pPr>
                              <w:pStyle w:val="ListParagraph"/>
                              <w:ind w:left="1080"/>
                              <w:rPr>
                                <w:sz w:val="24"/>
                              </w:rPr>
                            </w:pPr>
                            <w:r>
                              <w:rPr>
                                <w:rFonts w:ascii="Arial" w:hAnsi="Arial" w:cs="Arial"/>
                              </w:rPr>
                              <w:t xml:space="preserve"> </w:t>
                            </w:r>
                            <w:r w:rsidR="00BF7856">
                              <w:rPr>
                                <w:rFonts w:ascii="Arial" w:hAnsi="Arial" w:cs="Arial"/>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11.25pt;width:446.9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C7JJpiYCAABQBAAADgAAAAAAAAAAAAAAAAAuAgAAZHJzL2Uyb0Rv&#10;Yy54bWxQSwECLQAUAAYACAAAACEArdh8wd4AAAAIAQAADwAAAAAAAAAAAAAAAACABAAAZHJzL2Rv&#10;d25yZXYueG1sUEsFBgAAAAAEAAQA8wAAAIsFAAAAAA==&#10;">
                <v:textbox style="mso-fit-shape-to-text:t">
                  <w:txbxContent>
                    <w:p w:rsidR="00BF7856" w:rsidRDefault="00BF7856" w:rsidP="00336126">
                      <w:pPr>
                        <w:jc w:val="both"/>
                        <w:rPr>
                          <w:b/>
                          <w:sz w:val="24"/>
                          <w:szCs w:val="24"/>
                        </w:rPr>
                      </w:pPr>
                      <w:r w:rsidRPr="00336126">
                        <w:rPr>
                          <w:b/>
                          <w:sz w:val="24"/>
                          <w:szCs w:val="24"/>
                        </w:rPr>
                        <w:t>Executive Summary</w:t>
                      </w:r>
                    </w:p>
                    <w:p w:rsidR="00D275E7" w:rsidRDefault="00D275E7" w:rsidP="00336126">
                      <w:pPr>
                        <w:jc w:val="both"/>
                        <w:rPr>
                          <w:b/>
                          <w:sz w:val="24"/>
                          <w:szCs w:val="24"/>
                        </w:rPr>
                      </w:pPr>
                    </w:p>
                    <w:p w:rsidR="00D275E7" w:rsidRPr="00496C93" w:rsidRDefault="00D275E7" w:rsidP="00336126">
                      <w:pPr>
                        <w:jc w:val="both"/>
                        <w:rPr>
                          <w:sz w:val="24"/>
                          <w:szCs w:val="24"/>
                        </w:rPr>
                      </w:pPr>
                      <w:r w:rsidRPr="00496C93">
                        <w:rPr>
                          <w:sz w:val="24"/>
                          <w:szCs w:val="24"/>
                        </w:rPr>
                        <w:t>In addition to planning and shaping the commissioning of future business support initiatives, the Business Support Management Board (BSMB) also has a key responsibility to the LEP to oversee existing activity to ensure that it is well run and delivering for Lancashire.</w:t>
                      </w:r>
                    </w:p>
                    <w:p w:rsidR="00D275E7" w:rsidRPr="00496C93" w:rsidRDefault="00D275E7" w:rsidP="00336126">
                      <w:pPr>
                        <w:jc w:val="both"/>
                        <w:rPr>
                          <w:sz w:val="24"/>
                          <w:szCs w:val="24"/>
                        </w:rPr>
                      </w:pPr>
                    </w:p>
                    <w:p w:rsidR="00D275E7" w:rsidRPr="00496C93" w:rsidRDefault="00D275E7" w:rsidP="00336126">
                      <w:pPr>
                        <w:jc w:val="both"/>
                        <w:rPr>
                          <w:sz w:val="24"/>
                          <w:szCs w:val="24"/>
                        </w:rPr>
                      </w:pPr>
                      <w:r w:rsidRPr="00496C93">
                        <w:rPr>
                          <w:sz w:val="24"/>
                          <w:szCs w:val="24"/>
                        </w:rPr>
                        <w:t xml:space="preserve">This report focusses of two key projects, both of which are seeking to transition into new formats.  They are Boost – Lancashire's Business Growth Hub and the North West Fund which delivers business finance solutions across the region. </w:t>
                      </w:r>
                    </w:p>
                    <w:p w:rsidR="00D275E7" w:rsidRPr="00496C93" w:rsidRDefault="00D275E7" w:rsidP="00336126">
                      <w:pPr>
                        <w:jc w:val="both"/>
                        <w:rPr>
                          <w:b/>
                          <w:sz w:val="24"/>
                          <w:szCs w:val="24"/>
                        </w:rPr>
                      </w:pPr>
                    </w:p>
                    <w:p w:rsidR="00BF7856" w:rsidRPr="00496C93" w:rsidRDefault="00BF7856" w:rsidP="00E53FA1">
                      <w:pPr>
                        <w:pStyle w:val="PlainText"/>
                        <w:ind w:left="993"/>
                        <w:jc w:val="both"/>
                        <w:rPr>
                          <w:rFonts w:ascii="Arial" w:hAnsi="Arial" w:cs="Arial"/>
                          <w:sz w:val="24"/>
                          <w:szCs w:val="24"/>
                        </w:rPr>
                      </w:pPr>
                    </w:p>
                    <w:p w:rsidR="00BF7856" w:rsidRPr="00496C93" w:rsidRDefault="00BF7856">
                      <w:pPr>
                        <w:pStyle w:val="ListParagraph"/>
                        <w:ind w:left="0"/>
                        <w:jc w:val="both"/>
                        <w:rPr>
                          <w:rFonts w:ascii="Arial" w:hAnsi="Arial" w:cs="Arial"/>
                          <w:b/>
                          <w:sz w:val="24"/>
                          <w:szCs w:val="24"/>
                        </w:rPr>
                      </w:pPr>
                      <w:r w:rsidRPr="00496C93">
                        <w:rPr>
                          <w:rFonts w:ascii="Arial" w:hAnsi="Arial" w:cs="Arial"/>
                          <w:b/>
                          <w:sz w:val="24"/>
                          <w:szCs w:val="24"/>
                        </w:rPr>
                        <w:t>Recommendation</w:t>
                      </w:r>
                    </w:p>
                    <w:p w:rsidR="00BF7856" w:rsidRPr="00496C93" w:rsidRDefault="00BF7856">
                      <w:pPr>
                        <w:pStyle w:val="ListParagraph"/>
                        <w:ind w:left="0"/>
                        <w:jc w:val="both"/>
                        <w:rPr>
                          <w:rFonts w:ascii="Arial" w:hAnsi="Arial" w:cs="Arial"/>
                          <w:b/>
                          <w:sz w:val="24"/>
                          <w:szCs w:val="24"/>
                        </w:rPr>
                      </w:pPr>
                    </w:p>
                    <w:p w:rsidR="00BF7856" w:rsidRPr="00496C93" w:rsidRDefault="00BF7856" w:rsidP="00D563DE">
                      <w:pPr>
                        <w:rPr>
                          <w:sz w:val="24"/>
                          <w:szCs w:val="24"/>
                        </w:rPr>
                      </w:pPr>
                      <w:r w:rsidRPr="00496C93">
                        <w:rPr>
                          <w:sz w:val="24"/>
                          <w:szCs w:val="24"/>
                        </w:rPr>
                        <w:t>The LEP BSM Board is asked to:</w:t>
                      </w:r>
                      <w:r w:rsidR="008C36DC" w:rsidRPr="00496C93">
                        <w:rPr>
                          <w:sz w:val="24"/>
                          <w:szCs w:val="24"/>
                        </w:rPr>
                        <w:br/>
                      </w:r>
                    </w:p>
                    <w:p w:rsidR="005D54F2" w:rsidRPr="00496C93" w:rsidRDefault="00D90512" w:rsidP="00CC0469">
                      <w:pPr>
                        <w:pStyle w:val="ListParagraph"/>
                        <w:numPr>
                          <w:ilvl w:val="0"/>
                          <w:numId w:val="1"/>
                        </w:numPr>
                        <w:spacing w:after="200" w:line="276" w:lineRule="auto"/>
                        <w:rPr>
                          <w:rFonts w:ascii="Arial" w:hAnsi="Arial" w:cs="Arial"/>
                          <w:sz w:val="24"/>
                          <w:szCs w:val="24"/>
                        </w:rPr>
                      </w:pPr>
                      <w:r w:rsidRPr="00496C93">
                        <w:rPr>
                          <w:rFonts w:ascii="Arial" w:hAnsi="Arial" w:cs="Arial"/>
                          <w:sz w:val="24"/>
                          <w:szCs w:val="24"/>
                        </w:rPr>
                        <w:t xml:space="preserve">note progress </w:t>
                      </w:r>
                      <w:r w:rsidR="00D275E7" w:rsidRPr="00496C93">
                        <w:rPr>
                          <w:rFonts w:ascii="Arial" w:hAnsi="Arial" w:cs="Arial"/>
                          <w:sz w:val="24"/>
                          <w:szCs w:val="24"/>
                        </w:rPr>
                        <w:t>of the Boost and NW Fund within Lancashire</w:t>
                      </w:r>
                      <w:r w:rsidRPr="00496C93">
                        <w:rPr>
                          <w:rFonts w:ascii="Arial" w:hAnsi="Arial" w:cs="Arial"/>
                          <w:sz w:val="24"/>
                          <w:szCs w:val="24"/>
                        </w:rPr>
                        <w:t xml:space="preserve">, </w:t>
                      </w:r>
                    </w:p>
                    <w:p w:rsidR="00D275E7" w:rsidRPr="00496C93" w:rsidRDefault="00466A20" w:rsidP="00CC0469">
                      <w:pPr>
                        <w:pStyle w:val="ListParagraph"/>
                        <w:numPr>
                          <w:ilvl w:val="0"/>
                          <w:numId w:val="1"/>
                        </w:numPr>
                        <w:rPr>
                          <w:sz w:val="24"/>
                          <w:szCs w:val="24"/>
                        </w:rPr>
                      </w:pPr>
                      <w:r w:rsidRPr="00496C93">
                        <w:rPr>
                          <w:rFonts w:ascii="Arial" w:hAnsi="Arial" w:cs="Arial"/>
                          <w:sz w:val="24"/>
                          <w:szCs w:val="24"/>
                        </w:rPr>
                        <w:t>c</w:t>
                      </w:r>
                      <w:r w:rsidR="00D275E7" w:rsidRPr="00496C93">
                        <w:rPr>
                          <w:rFonts w:ascii="Arial" w:hAnsi="Arial" w:cs="Arial"/>
                          <w:sz w:val="24"/>
                          <w:szCs w:val="24"/>
                        </w:rPr>
                        <w:t>ommit to actively oversee the development of these projects in their new form</w:t>
                      </w:r>
                    </w:p>
                    <w:p w:rsidR="003C7194" w:rsidRPr="00496C93" w:rsidRDefault="003C7194" w:rsidP="00CC0469">
                      <w:pPr>
                        <w:pStyle w:val="ListParagraph"/>
                        <w:numPr>
                          <w:ilvl w:val="0"/>
                          <w:numId w:val="1"/>
                        </w:numPr>
                        <w:rPr>
                          <w:sz w:val="24"/>
                          <w:szCs w:val="24"/>
                        </w:rPr>
                      </w:pPr>
                      <w:r w:rsidRPr="00496C93">
                        <w:rPr>
                          <w:rFonts w:ascii="Arial" w:hAnsi="Arial" w:cs="Arial"/>
                          <w:sz w:val="24"/>
                          <w:szCs w:val="24"/>
                        </w:rPr>
                        <w:t xml:space="preserve">Seek an update from the Lancashire Business Grant Programme </w:t>
                      </w:r>
                    </w:p>
                    <w:p w:rsidR="00BF7856" w:rsidRPr="00AE3F3C" w:rsidRDefault="00D275E7" w:rsidP="00D275E7">
                      <w:pPr>
                        <w:pStyle w:val="ListParagraph"/>
                        <w:ind w:left="1080"/>
                        <w:rPr>
                          <w:sz w:val="24"/>
                        </w:rPr>
                      </w:pPr>
                      <w:r>
                        <w:rPr>
                          <w:rFonts w:ascii="Arial" w:hAnsi="Arial" w:cs="Arial"/>
                        </w:rPr>
                        <w:t xml:space="preserve"> </w:t>
                      </w:r>
                      <w:r w:rsidR="00BF7856">
                        <w:rPr>
                          <w:rFonts w:ascii="Arial" w:hAnsi="Arial" w:cs="Arial"/>
                          <w:sz w:val="24"/>
                          <w:szCs w:val="24"/>
                        </w:rPr>
                        <w:t xml:space="preserve"> </w:t>
                      </w:r>
                    </w:p>
                  </w:txbxContent>
                </v:textbox>
                <w10:wrap type="square"/>
              </v:shape>
            </w:pict>
          </mc:Fallback>
        </mc:AlternateContent>
      </w:r>
    </w:p>
    <w:p w:rsidR="004B3AC6" w:rsidRDefault="004B3AC6">
      <w:pPr>
        <w:pStyle w:val="ListParagraph"/>
        <w:ind w:left="567" w:hanging="567"/>
        <w:rPr>
          <w:rFonts w:ascii="Arial" w:hAnsi="Arial" w:cs="Arial"/>
          <w:b/>
          <w:sz w:val="24"/>
          <w:szCs w:val="24"/>
        </w:rPr>
      </w:pPr>
    </w:p>
    <w:p w:rsidR="004B3AC6" w:rsidRDefault="004B3AC6">
      <w:pPr>
        <w:pStyle w:val="ListParagraph"/>
        <w:ind w:left="567" w:hanging="567"/>
        <w:rPr>
          <w:rFonts w:ascii="Arial" w:hAnsi="Arial" w:cs="Arial"/>
          <w:b/>
          <w:sz w:val="24"/>
          <w:szCs w:val="24"/>
        </w:rPr>
      </w:pPr>
    </w:p>
    <w:p w:rsidR="005D54F2" w:rsidRDefault="005D54F2" w:rsidP="005D54F2">
      <w:pPr>
        <w:rPr>
          <w:b/>
        </w:rPr>
      </w:pPr>
      <w:r>
        <w:rPr>
          <w:b/>
        </w:rPr>
        <w:br w:type="page"/>
      </w:r>
    </w:p>
    <w:p w:rsidR="00D90512" w:rsidRPr="00D90512" w:rsidRDefault="00D90512" w:rsidP="00D90512">
      <w:pPr>
        <w:rPr>
          <w:b/>
        </w:rPr>
      </w:pPr>
    </w:p>
    <w:p w:rsidR="00D90512" w:rsidRPr="00D90512" w:rsidRDefault="00D90512" w:rsidP="00CC0469">
      <w:pPr>
        <w:pStyle w:val="ListParagraph"/>
        <w:numPr>
          <w:ilvl w:val="0"/>
          <w:numId w:val="4"/>
        </w:numPr>
        <w:ind w:hanging="720"/>
        <w:rPr>
          <w:rFonts w:ascii="Arial" w:hAnsi="Arial" w:cs="Arial"/>
          <w:b/>
        </w:rPr>
      </w:pPr>
      <w:r w:rsidRPr="00D90512">
        <w:rPr>
          <w:rFonts w:ascii="Arial" w:hAnsi="Arial" w:cs="Arial"/>
          <w:b/>
        </w:rPr>
        <w:t>Introduction</w:t>
      </w:r>
      <w:r w:rsidRPr="00D90512">
        <w:rPr>
          <w:rFonts w:ascii="Arial" w:hAnsi="Arial" w:cs="Arial"/>
          <w:b/>
        </w:rPr>
        <w:br/>
      </w:r>
    </w:p>
    <w:p w:rsidR="008C36DC" w:rsidRDefault="008C36DC" w:rsidP="008C36DC">
      <w:pPr>
        <w:ind w:left="709" w:hanging="709"/>
      </w:pPr>
      <w:r>
        <w:t>1.1</w:t>
      </w:r>
      <w:r>
        <w:tab/>
      </w:r>
      <w:r w:rsidR="003C7194">
        <w:t>There are a number of major on-going projects within Lancashire which contribute significantly to the Business Support offer</w:t>
      </w:r>
      <w:r>
        <w:t>.  As part of the BSMB work programme and to inform future commissioning it is intended to look out how these projects have performed, what they achieved for business in Lancashire and whether / with what modification we should seek to continue this provision in Lancashire.</w:t>
      </w:r>
      <w:r>
        <w:br/>
      </w:r>
    </w:p>
    <w:p w:rsidR="008C36DC" w:rsidRDefault="008C36DC" w:rsidP="008C36DC">
      <w:pPr>
        <w:ind w:left="709" w:hanging="709"/>
      </w:pPr>
      <w:r>
        <w:t>1.2</w:t>
      </w:r>
      <w:r>
        <w:tab/>
        <w:t>The two project for consideration at this meeting are Boost – Lancashire's Business Growth Hub which formally ended as an ERDF project on the 30</w:t>
      </w:r>
      <w:r w:rsidRPr="008C36DC">
        <w:rPr>
          <w:vertAlign w:val="superscript"/>
        </w:rPr>
        <w:t>th</w:t>
      </w:r>
      <w:r>
        <w:t xml:space="preserve"> September 2015 and the North West Business Fund which is still operational but has committed all of its budget for investments outside of the Liverpool City Region.</w:t>
      </w:r>
      <w:r>
        <w:br/>
      </w:r>
    </w:p>
    <w:p w:rsidR="008C36DC" w:rsidRDefault="008C36DC" w:rsidP="008C36DC">
      <w:pPr>
        <w:ind w:left="709" w:hanging="709"/>
      </w:pPr>
    </w:p>
    <w:p w:rsidR="008C36DC" w:rsidRPr="008C36DC" w:rsidRDefault="008C36DC" w:rsidP="008C36DC">
      <w:pPr>
        <w:ind w:left="709" w:hanging="709"/>
        <w:rPr>
          <w:b/>
        </w:rPr>
      </w:pPr>
      <w:r w:rsidRPr="008C36DC">
        <w:rPr>
          <w:b/>
        </w:rPr>
        <w:t>2.</w:t>
      </w:r>
      <w:r w:rsidRPr="008C36DC">
        <w:rPr>
          <w:b/>
        </w:rPr>
        <w:tab/>
        <w:t>The Boost Project Final Outturn results and External Evaluation</w:t>
      </w:r>
    </w:p>
    <w:p w:rsidR="008C36DC" w:rsidRDefault="008C36DC" w:rsidP="008C36DC">
      <w:pPr>
        <w:ind w:left="709" w:hanging="709"/>
      </w:pPr>
    </w:p>
    <w:p w:rsidR="00496C93" w:rsidRDefault="008C36DC" w:rsidP="008C36DC">
      <w:pPr>
        <w:ind w:left="709" w:hanging="709"/>
      </w:pPr>
      <w:r>
        <w:t>2.1</w:t>
      </w:r>
      <w:r>
        <w:tab/>
      </w:r>
      <w:r w:rsidR="00496C93">
        <w:t>The Boost Business Lancashire Programme was developed in 2012 in response to a call within the last NW European Programme to establish Growth Hubs across the five North West LEP areas.  At that time, there was an existing Growth Hub in Greater Manchester and the called allowed for similar initiatives to come forward in Lancashire and Cumbria.  More latterly the concept of each LEP area having its own Growth Hub has become ubiquitous with a full network of 39 envisaged to be operational from early in 2016.</w:t>
      </w:r>
      <w:r w:rsidR="00496C93">
        <w:br/>
      </w:r>
    </w:p>
    <w:p w:rsidR="00D73AC6" w:rsidRDefault="00496C93" w:rsidP="00D73AC6">
      <w:pPr>
        <w:ind w:left="709" w:hanging="709"/>
      </w:pPr>
      <w:r>
        <w:t>2.2</w:t>
      </w:r>
      <w:r>
        <w:tab/>
        <w:t xml:space="preserve">Whilst there is no single model of how a Growth Hub should be run and what activity it undertakes, the majority of the early Hubs made use of ERDF and local match to create a core service and some key delivery projects.  In Lancashire the Growth Hub consisted of </w:t>
      </w:r>
      <w:r w:rsidR="00D73AC6">
        <w:t>7</w:t>
      </w:r>
      <w:r>
        <w:t xml:space="preserve"> main components</w:t>
      </w:r>
      <w:r w:rsidR="00D73AC6">
        <w:t xml:space="preserve"> all within one European project.  These activities were:</w:t>
      </w:r>
      <w:r>
        <w:t>-</w:t>
      </w:r>
    </w:p>
    <w:p w:rsidR="00D73AC6" w:rsidRDefault="00D73AC6" w:rsidP="00D73AC6">
      <w:pPr>
        <w:ind w:left="709" w:hanging="709"/>
      </w:pPr>
    </w:p>
    <w:p w:rsidR="00D73AC6" w:rsidRDefault="00D73AC6" w:rsidP="00D73AC6">
      <w:pPr>
        <w:pStyle w:val="ListParagraph"/>
        <w:numPr>
          <w:ilvl w:val="0"/>
          <w:numId w:val="7"/>
        </w:numPr>
        <w:rPr>
          <w:rFonts w:ascii="Arial" w:hAnsi="Arial" w:cs="Arial"/>
        </w:rPr>
      </w:pPr>
      <w:r w:rsidRPr="00D73AC6">
        <w:rPr>
          <w:rFonts w:ascii="Arial" w:hAnsi="Arial" w:cs="Arial"/>
        </w:rPr>
        <w:t>The Gateway Team – providing advice and referral to businesses contacting Boost</w:t>
      </w:r>
      <w:r>
        <w:rPr>
          <w:rFonts w:ascii="Arial" w:hAnsi="Arial" w:cs="Arial"/>
        </w:rPr>
        <w:t xml:space="preserve"> and access to grants</w:t>
      </w:r>
    </w:p>
    <w:p w:rsidR="00D73AC6" w:rsidRDefault="00D73AC6" w:rsidP="00D73AC6">
      <w:pPr>
        <w:pStyle w:val="ListParagraph"/>
        <w:numPr>
          <w:ilvl w:val="0"/>
          <w:numId w:val="7"/>
        </w:numPr>
        <w:rPr>
          <w:rFonts w:ascii="Arial" w:hAnsi="Arial" w:cs="Arial"/>
        </w:rPr>
      </w:pPr>
      <w:r>
        <w:rPr>
          <w:rFonts w:ascii="Arial" w:hAnsi="Arial" w:cs="Arial"/>
        </w:rPr>
        <w:t>A Marketing partner – raising the profile of the service</w:t>
      </w:r>
    </w:p>
    <w:p w:rsidR="00D73AC6" w:rsidRDefault="00D73AC6" w:rsidP="00D73AC6">
      <w:pPr>
        <w:pStyle w:val="ListParagraph"/>
        <w:numPr>
          <w:ilvl w:val="0"/>
          <w:numId w:val="7"/>
        </w:numPr>
        <w:rPr>
          <w:rFonts w:ascii="Arial" w:hAnsi="Arial" w:cs="Arial"/>
        </w:rPr>
      </w:pPr>
      <w:r>
        <w:rPr>
          <w:rFonts w:ascii="Arial" w:hAnsi="Arial" w:cs="Arial"/>
        </w:rPr>
        <w:t>A Growth Business Start-Up service, providing guidance and training for those wishing to set up a business and those in their first three years of trading</w:t>
      </w:r>
    </w:p>
    <w:p w:rsidR="00D73AC6" w:rsidRDefault="00D73AC6" w:rsidP="00D73AC6">
      <w:pPr>
        <w:pStyle w:val="ListParagraph"/>
        <w:numPr>
          <w:ilvl w:val="0"/>
          <w:numId w:val="7"/>
        </w:numPr>
        <w:rPr>
          <w:rFonts w:ascii="Arial" w:hAnsi="Arial" w:cs="Arial"/>
        </w:rPr>
      </w:pPr>
      <w:r>
        <w:rPr>
          <w:rFonts w:ascii="Arial" w:hAnsi="Arial" w:cs="Arial"/>
        </w:rPr>
        <w:t>Innovation Support – delivered by UCLAN</w:t>
      </w:r>
    </w:p>
    <w:p w:rsidR="00D73AC6" w:rsidRDefault="00D73AC6" w:rsidP="00D73AC6">
      <w:pPr>
        <w:pStyle w:val="ListParagraph"/>
        <w:numPr>
          <w:ilvl w:val="0"/>
          <w:numId w:val="7"/>
        </w:numPr>
        <w:rPr>
          <w:rFonts w:ascii="Arial" w:hAnsi="Arial" w:cs="Arial"/>
        </w:rPr>
      </w:pPr>
      <w:r>
        <w:rPr>
          <w:rFonts w:ascii="Arial" w:hAnsi="Arial" w:cs="Arial"/>
        </w:rPr>
        <w:t>Leadership and Management training and development delivered by Lancaster University Management School and</w:t>
      </w:r>
    </w:p>
    <w:p w:rsidR="00D73AC6" w:rsidRDefault="00D73AC6" w:rsidP="00D73AC6">
      <w:pPr>
        <w:pStyle w:val="ListParagraph"/>
        <w:numPr>
          <w:ilvl w:val="0"/>
          <w:numId w:val="7"/>
        </w:numPr>
        <w:rPr>
          <w:rFonts w:ascii="Arial" w:hAnsi="Arial" w:cs="Arial"/>
        </w:rPr>
      </w:pPr>
      <w:r>
        <w:rPr>
          <w:rFonts w:ascii="Arial" w:hAnsi="Arial" w:cs="Arial"/>
        </w:rPr>
        <w:t>A Business Mentoring matching service to get experienced business people to work with businesses looking for support</w:t>
      </w:r>
    </w:p>
    <w:p w:rsidR="00D73AC6" w:rsidRDefault="00D73AC6" w:rsidP="00D73AC6">
      <w:pPr>
        <w:pStyle w:val="ListParagraph"/>
        <w:numPr>
          <w:ilvl w:val="0"/>
          <w:numId w:val="7"/>
        </w:numPr>
        <w:rPr>
          <w:rFonts w:ascii="Arial" w:hAnsi="Arial" w:cs="Arial"/>
        </w:rPr>
      </w:pPr>
      <w:r>
        <w:rPr>
          <w:rFonts w:ascii="Arial" w:hAnsi="Arial" w:cs="Arial"/>
        </w:rPr>
        <w:t>A resource to allow Lancashire businesses on the Growth Accelerator programme to get further support where this would lead to the realisation of extra growth or jobs.</w:t>
      </w:r>
      <w:r>
        <w:rPr>
          <w:rFonts w:ascii="Arial" w:hAnsi="Arial" w:cs="Arial"/>
        </w:rPr>
        <w:br/>
      </w:r>
    </w:p>
    <w:p w:rsidR="00E17DA2" w:rsidRDefault="00D73AC6" w:rsidP="00E17DA2">
      <w:pPr>
        <w:ind w:left="709" w:hanging="709"/>
      </w:pPr>
      <w:r>
        <w:t>2.3</w:t>
      </w:r>
      <w:r>
        <w:tab/>
      </w:r>
      <w:r w:rsidR="00E17DA2">
        <w:t>At the commencement of the Boost project, a number of contractual targets were agreed with CLG to measure the success of the initiative. Each of the seven constituent projects within Boost was allocated its share of the outputs, and charged with securing those measures of growth and providing the evidence to back up the figures.</w:t>
      </w:r>
    </w:p>
    <w:p w:rsidR="00E17DA2" w:rsidRDefault="00E17DA2" w:rsidP="00E17DA2">
      <w:pPr>
        <w:ind w:left="709"/>
      </w:pPr>
    </w:p>
    <w:p w:rsidR="00E17DA2" w:rsidRDefault="00E17DA2" w:rsidP="00E17DA2">
      <w:pPr>
        <w:ind w:left="709" w:hanging="709"/>
      </w:pPr>
      <w:r>
        <w:t>2.4</w:t>
      </w:r>
      <w:r>
        <w:tab/>
      </w:r>
      <w:r>
        <w:t xml:space="preserve">A Client Monitoring System called </w:t>
      </w:r>
      <w:proofErr w:type="spellStart"/>
      <w:r>
        <w:t>Evolutive</w:t>
      </w:r>
      <w:proofErr w:type="spellEnd"/>
      <w:r>
        <w:t xml:space="preserve"> was made available to all partners and the performance towards achieving the allocated targets has been closely monitored throughout the life of Boost.  Monthly monitoring reports from </w:t>
      </w:r>
      <w:proofErr w:type="spellStart"/>
      <w:r>
        <w:t>Evolutive</w:t>
      </w:r>
      <w:proofErr w:type="spellEnd"/>
      <w:r>
        <w:t xml:space="preserve"> have kept partners informed of the programme performance overall and these have also influenced marketing activities and the targeting of growth businesses. </w:t>
      </w:r>
    </w:p>
    <w:p w:rsidR="00E17DA2" w:rsidRDefault="00E17DA2" w:rsidP="00E17DA2">
      <w:pPr>
        <w:ind w:left="709" w:hanging="709"/>
      </w:pPr>
    </w:p>
    <w:p w:rsidR="00E17DA2" w:rsidRPr="00214365" w:rsidRDefault="00E17DA2" w:rsidP="00E17DA2">
      <w:pPr>
        <w:ind w:left="709"/>
        <w:rPr>
          <w:b/>
          <w:color w:val="ED7D31" w:themeColor="accent2"/>
        </w:rPr>
      </w:pPr>
      <w:r w:rsidRPr="00214365">
        <w:rPr>
          <w:b/>
          <w:color w:val="ED7D31" w:themeColor="accent2"/>
        </w:rPr>
        <w:t>Engaging with target businesses</w:t>
      </w:r>
    </w:p>
    <w:p w:rsidR="00E17DA2" w:rsidRDefault="00E17DA2" w:rsidP="00E17DA2">
      <w:pPr>
        <w:ind w:left="709" w:hanging="709"/>
      </w:pPr>
    </w:p>
    <w:p w:rsidR="00E17DA2" w:rsidRPr="00F061C9" w:rsidRDefault="00E17DA2" w:rsidP="00E17DA2">
      <w:pPr>
        <w:ind w:left="709" w:hanging="709"/>
      </w:pPr>
      <w:r>
        <w:t>2.5</w:t>
      </w:r>
      <w:r>
        <w:tab/>
      </w:r>
      <w:r w:rsidRPr="00F061C9">
        <w:t>In order to identify the required pipeline of businesses needing support, Boost has engaged with just short of 3,000 businesses</w:t>
      </w:r>
      <w:r>
        <w:t>.  This has been achieved through a concerted and coordinated central marketing programme in conjunction with marketing efforts by individual partners including a series of events, and through various media channels.</w:t>
      </w:r>
    </w:p>
    <w:p w:rsidR="00E17DA2" w:rsidRDefault="00E17DA2" w:rsidP="00E17DA2">
      <w:pPr>
        <w:ind w:left="709" w:hanging="709"/>
      </w:pPr>
    </w:p>
    <w:p w:rsidR="00E17DA2" w:rsidRPr="00F77F3F" w:rsidRDefault="00E17DA2" w:rsidP="00E17DA2">
      <w:pPr>
        <w:ind w:left="709"/>
        <w:rPr>
          <w:b/>
          <w:color w:val="ED7D31" w:themeColor="accent2"/>
        </w:rPr>
      </w:pPr>
      <w:r w:rsidRPr="00F77F3F">
        <w:rPr>
          <w:b/>
          <w:color w:val="ED7D31" w:themeColor="accent2"/>
        </w:rPr>
        <w:t>Targets and Results</w:t>
      </w:r>
    </w:p>
    <w:p w:rsidR="00E17DA2" w:rsidRDefault="00E17DA2" w:rsidP="00E17DA2">
      <w:pPr>
        <w:ind w:left="709" w:hanging="709"/>
      </w:pPr>
    </w:p>
    <w:p w:rsidR="00E17DA2" w:rsidRPr="00F061C9" w:rsidRDefault="00E17DA2" w:rsidP="00E17DA2">
      <w:pPr>
        <w:ind w:left="709"/>
        <w:rPr>
          <w:b/>
          <w:color w:val="ED7D31" w:themeColor="accent2"/>
        </w:rPr>
      </w:pPr>
      <w:r w:rsidRPr="00F061C9">
        <w:rPr>
          <w:b/>
          <w:color w:val="ED7D31" w:themeColor="accent2"/>
        </w:rPr>
        <w:t>Number of businesses assisted to improve their performance</w:t>
      </w:r>
      <w:r>
        <w:rPr>
          <w:b/>
          <w:color w:val="ED7D31" w:themeColor="accent2"/>
        </w:rPr>
        <w:t xml:space="preserve"> (O3)</w:t>
      </w:r>
    </w:p>
    <w:p w:rsidR="00E17DA2" w:rsidRDefault="00E17DA2" w:rsidP="00E17DA2">
      <w:pPr>
        <w:ind w:left="709" w:hanging="709"/>
      </w:pPr>
    </w:p>
    <w:p w:rsidR="00E17DA2" w:rsidRDefault="00E17DA2" w:rsidP="00E17DA2">
      <w:pPr>
        <w:ind w:left="709" w:hanging="709"/>
      </w:pPr>
      <w:r>
        <w:t>2.6</w:t>
      </w:r>
      <w:r>
        <w:tab/>
      </w:r>
      <w:r w:rsidRPr="00F061C9">
        <w:t xml:space="preserve">This headline target represents those businesses that satisfy the gateway criteria as being </w:t>
      </w:r>
      <w:proofErr w:type="gramStart"/>
      <w:r w:rsidRPr="00F061C9">
        <w:t>Boost</w:t>
      </w:r>
      <w:proofErr w:type="gramEnd"/>
      <w:r w:rsidRPr="00F061C9">
        <w:t xml:space="preserve"> eligible, and who have been referred for support to one of the Boost partners</w:t>
      </w:r>
      <w:r>
        <w:t>.  This target has been a core focus for Boost – to ensure that the project could meet its contractual obligations overall, and to focus the effort on growth oriented companies. Considerable effort has been expended to monitor performance against the headline target and to inform and drive the marketing effort to generate a steady stream of businesses to Boost.</w:t>
      </w:r>
    </w:p>
    <w:p w:rsidR="00E17DA2" w:rsidRDefault="00E17DA2" w:rsidP="00E17DA2">
      <w:pPr>
        <w:ind w:left="709" w:hanging="709"/>
      </w:pPr>
    </w:p>
    <w:p w:rsidR="00E17DA2" w:rsidRDefault="00E17DA2" w:rsidP="00E17DA2">
      <w:pPr>
        <w:ind w:left="709" w:hanging="709"/>
      </w:pPr>
      <w:r>
        <w:t>2.7</w:t>
      </w:r>
      <w:r>
        <w:tab/>
      </w:r>
      <w:r>
        <w:t xml:space="preserve">The project has met its </w:t>
      </w:r>
      <w:r w:rsidRPr="00FF6F8E">
        <w:t xml:space="preserve">overall </w:t>
      </w:r>
      <w:r>
        <w:t xml:space="preserve">target, with </w:t>
      </w:r>
      <w:r w:rsidRPr="006C64F6">
        <w:rPr>
          <w:b/>
        </w:rPr>
        <w:t>12</w:t>
      </w:r>
      <w:r>
        <w:rPr>
          <w:b/>
        </w:rPr>
        <w:t>78</w:t>
      </w:r>
      <w:r>
        <w:t xml:space="preserve"> unique business assists being recorded against a target of 1269</w:t>
      </w:r>
      <w:proofErr w:type="gramStart"/>
      <w:r>
        <w:t>..</w:t>
      </w:r>
      <w:proofErr w:type="gramEnd"/>
      <w:r>
        <w:t xml:space="preserve"> This figure has been calculated by removing 61 dual assists relating to those SMEs who have been supported by more than one project from the gross number (1339) of assists recorded on </w:t>
      </w:r>
      <w:proofErr w:type="spellStart"/>
      <w:r>
        <w:t>Evolutive</w:t>
      </w:r>
      <w:proofErr w:type="spellEnd"/>
      <w:r>
        <w:t>.</w:t>
      </w:r>
    </w:p>
    <w:p w:rsidR="00E17DA2" w:rsidRDefault="00E17DA2" w:rsidP="00E17DA2">
      <w:pPr>
        <w:ind w:left="709" w:hanging="709"/>
      </w:pPr>
    </w:p>
    <w:p w:rsidR="00E17DA2" w:rsidRPr="00F061C9" w:rsidRDefault="00E17DA2" w:rsidP="00E17DA2">
      <w:pPr>
        <w:ind w:left="709" w:hanging="709"/>
      </w:pPr>
      <w:r>
        <w:t>2.8</w:t>
      </w:r>
      <w:r>
        <w:tab/>
      </w:r>
      <w:r>
        <w:t xml:space="preserve">The dual assists have been allowed in very limited circumstances where specific justification has been provided by partners of SMEs being able to generate additional programme outputs related to additional growth proposals over and above the original assist. </w:t>
      </w:r>
      <w:r w:rsidRPr="00F061C9">
        <w:t xml:space="preserve"> </w:t>
      </w:r>
    </w:p>
    <w:p w:rsidR="00E17DA2" w:rsidRDefault="00E17DA2" w:rsidP="00E17DA2">
      <w:pPr>
        <w:ind w:left="709" w:hanging="709"/>
      </w:pPr>
    </w:p>
    <w:p w:rsidR="00E17DA2" w:rsidRPr="006C64F6" w:rsidRDefault="00E17DA2" w:rsidP="00E17DA2">
      <w:pPr>
        <w:ind w:left="709"/>
        <w:rPr>
          <w:b/>
          <w:color w:val="ED7D31" w:themeColor="accent2"/>
        </w:rPr>
      </w:pPr>
      <w:r w:rsidRPr="006C64F6">
        <w:rPr>
          <w:b/>
          <w:color w:val="ED7D31" w:themeColor="accent2"/>
        </w:rPr>
        <w:t>Businesses with improved performance</w:t>
      </w:r>
      <w:r>
        <w:rPr>
          <w:b/>
          <w:color w:val="ED7D31" w:themeColor="accent2"/>
        </w:rPr>
        <w:t xml:space="preserve"> (R3/R3a)</w:t>
      </w:r>
    </w:p>
    <w:p w:rsidR="00E17DA2" w:rsidRDefault="00E17DA2" w:rsidP="00E17DA2">
      <w:pPr>
        <w:ind w:left="709" w:hanging="709"/>
      </w:pPr>
    </w:p>
    <w:p w:rsidR="00E17DA2" w:rsidRDefault="00E17DA2" w:rsidP="00E17DA2">
      <w:pPr>
        <w:pStyle w:val="NormalWeb"/>
        <w:spacing w:before="2" w:after="2"/>
        <w:ind w:left="709" w:hanging="709"/>
        <w:rPr>
          <w:rFonts w:ascii="Arial" w:hAnsi="Arial"/>
          <w:sz w:val="22"/>
          <w:szCs w:val="22"/>
        </w:rPr>
      </w:pPr>
      <w:r>
        <w:rPr>
          <w:rFonts w:ascii="Arial" w:hAnsi="Arial"/>
          <w:sz w:val="22"/>
        </w:rPr>
        <w:t>2.9</w:t>
      </w:r>
      <w:r>
        <w:rPr>
          <w:rFonts w:ascii="Arial" w:hAnsi="Arial"/>
          <w:sz w:val="22"/>
        </w:rPr>
        <w:tab/>
      </w:r>
      <w:r>
        <w:rPr>
          <w:rFonts w:ascii="Arial" w:hAnsi="Arial"/>
          <w:sz w:val="22"/>
        </w:rPr>
        <w:t xml:space="preserve">This result indicator represents the number of businesses who have been able to evidence improved performance, as a direct result of the assistance provided by Boost. This can either be through improved GVA (R3 indicator) or through other evidence (R3a) of </w:t>
      </w:r>
      <w:r>
        <w:rPr>
          <w:rFonts w:ascii="Arial" w:hAnsi="Arial"/>
          <w:sz w:val="22"/>
          <w:szCs w:val="22"/>
        </w:rPr>
        <w:t xml:space="preserve">new or improved products, processes or services. </w:t>
      </w:r>
      <w:r>
        <w:rPr>
          <w:rFonts w:ascii="Arial" w:hAnsi="Arial"/>
          <w:b/>
          <w:sz w:val="22"/>
          <w:szCs w:val="22"/>
        </w:rPr>
        <w:t>909</w:t>
      </w:r>
      <w:r>
        <w:rPr>
          <w:rFonts w:ascii="Arial" w:hAnsi="Arial"/>
          <w:sz w:val="22"/>
          <w:szCs w:val="22"/>
        </w:rPr>
        <w:t xml:space="preserve"> such assists were recorded against a target of </w:t>
      </w:r>
      <w:r w:rsidRPr="009A6715">
        <w:rPr>
          <w:rFonts w:ascii="Arial" w:hAnsi="Arial"/>
          <w:b/>
          <w:sz w:val="22"/>
          <w:szCs w:val="22"/>
        </w:rPr>
        <w:t>795</w:t>
      </w:r>
      <w:r>
        <w:rPr>
          <w:rFonts w:ascii="Arial" w:hAnsi="Arial"/>
          <w:sz w:val="22"/>
          <w:szCs w:val="22"/>
        </w:rPr>
        <w:t xml:space="preserve"> by the close of the project.  </w:t>
      </w:r>
    </w:p>
    <w:p w:rsidR="00E17DA2" w:rsidRDefault="00E17DA2" w:rsidP="00E17DA2">
      <w:pPr>
        <w:pStyle w:val="NormalWeb"/>
        <w:spacing w:before="2" w:after="2"/>
        <w:ind w:left="709" w:hanging="709"/>
        <w:rPr>
          <w:rFonts w:ascii="Arial" w:hAnsi="Arial"/>
          <w:sz w:val="22"/>
          <w:szCs w:val="22"/>
        </w:rPr>
      </w:pPr>
    </w:p>
    <w:p w:rsidR="00E17DA2" w:rsidRDefault="00E17DA2" w:rsidP="00E17DA2">
      <w:pPr>
        <w:pStyle w:val="NormalWeb"/>
        <w:spacing w:before="2" w:after="2"/>
        <w:ind w:left="709" w:hanging="709"/>
        <w:rPr>
          <w:rFonts w:ascii="Arial" w:hAnsi="Arial"/>
          <w:sz w:val="22"/>
          <w:szCs w:val="22"/>
        </w:rPr>
      </w:pPr>
      <w:r>
        <w:rPr>
          <w:rFonts w:ascii="Arial" w:hAnsi="Arial"/>
          <w:sz w:val="22"/>
          <w:szCs w:val="22"/>
        </w:rPr>
        <w:t>2.10</w:t>
      </w:r>
      <w:r>
        <w:rPr>
          <w:rFonts w:ascii="Arial" w:hAnsi="Arial"/>
          <w:sz w:val="22"/>
          <w:szCs w:val="22"/>
        </w:rPr>
        <w:tab/>
      </w:r>
      <w:r>
        <w:rPr>
          <w:rFonts w:ascii="Arial" w:hAnsi="Arial"/>
          <w:sz w:val="22"/>
          <w:szCs w:val="22"/>
        </w:rPr>
        <w:t>The actual number will be greater than this because of the time lag between the support provided and the implementation of growth projects by businesses. For example many of the companies supported in the six months leading up to the close of activities in October 2015 have not yet had opportunity to follow through on proposals before the monitoring period finished.  The impact of the project is therefore likely to be significantly higher.</w:t>
      </w:r>
    </w:p>
    <w:p w:rsidR="00E17DA2" w:rsidRDefault="00E17DA2" w:rsidP="00E17DA2">
      <w:pPr>
        <w:pStyle w:val="NormalWeb"/>
        <w:spacing w:before="2" w:after="2"/>
        <w:ind w:left="709" w:hanging="709"/>
        <w:rPr>
          <w:rFonts w:ascii="Arial" w:hAnsi="Arial"/>
          <w:sz w:val="22"/>
          <w:szCs w:val="22"/>
        </w:rPr>
      </w:pPr>
    </w:p>
    <w:p w:rsidR="00E17DA2" w:rsidRPr="00BC4505" w:rsidRDefault="00E17DA2" w:rsidP="00E17DA2">
      <w:pPr>
        <w:pStyle w:val="NormalWeb"/>
        <w:spacing w:before="2" w:after="2"/>
        <w:ind w:left="709"/>
        <w:rPr>
          <w:rFonts w:ascii="Arial" w:hAnsi="Arial"/>
          <w:b/>
          <w:color w:val="ED7D31" w:themeColor="accent2"/>
          <w:sz w:val="22"/>
          <w:szCs w:val="22"/>
        </w:rPr>
      </w:pPr>
      <w:r w:rsidRPr="00BC4505">
        <w:rPr>
          <w:rFonts w:ascii="Arial" w:hAnsi="Arial"/>
          <w:b/>
          <w:color w:val="ED7D31" w:themeColor="accent2"/>
          <w:sz w:val="24"/>
          <w:szCs w:val="22"/>
        </w:rPr>
        <w:lastRenderedPageBreak/>
        <w:t>Jobs created (R1a)</w:t>
      </w:r>
    </w:p>
    <w:p w:rsidR="00E17DA2" w:rsidRDefault="00E17DA2" w:rsidP="00E17DA2">
      <w:pPr>
        <w:ind w:left="709" w:hanging="709"/>
      </w:pPr>
    </w:p>
    <w:p w:rsidR="00E17DA2" w:rsidRPr="006C64F6" w:rsidRDefault="00E17DA2" w:rsidP="00E17DA2">
      <w:pPr>
        <w:ind w:left="709" w:hanging="709"/>
      </w:pPr>
      <w:r>
        <w:t>2.11</w:t>
      </w:r>
      <w:r>
        <w:tab/>
      </w:r>
      <w:r>
        <w:t xml:space="preserve">One of the main objectives of the Boost project has been to encourage growth projects that help to create additional employment in the Lancashire economy.  Over the lifetime of the project, </w:t>
      </w:r>
      <w:r>
        <w:rPr>
          <w:b/>
        </w:rPr>
        <w:t>1166</w:t>
      </w:r>
      <w:r>
        <w:t xml:space="preserve"> new jobs were recorded against a target of </w:t>
      </w:r>
      <w:r w:rsidRPr="00BC4505">
        <w:rPr>
          <w:b/>
        </w:rPr>
        <w:t>1468</w:t>
      </w:r>
      <w:r>
        <w:rPr>
          <w:b/>
        </w:rPr>
        <w:t xml:space="preserve">. </w:t>
      </w:r>
      <w:r w:rsidRPr="00BC4505">
        <w:t>Again</w:t>
      </w:r>
      <w:r>
        <w:t>, this figure under-represents the actual impact of the project as a number of companies, particularly those who have most recently been assisted, reported that they plan to increase their employment in the period following the formal monitoring period.</w:t>
      </w:r>
    </w:p>
    <w:p w:rsidR="00E17DA2" w:rsidRPr="00935C4E" w:rsidRDefault="00E17DA2" w:rsidP="00E17DA2">
      <w:pPr>
        <w:ind w:left="709" w:hanging="709"/>
      </w:pPr>
    </w:p>
    <w:p w:rsidR="00E17DA2" w:rsidRPr="00935C4E" w:rsidRDefault="00E17DA2" w:rsidP="00E17DA2">
      <w:pPr>
        <w:ind w:left="709" w:hanging="709"/>
      </w:pPr>
      <w:r>
        <w:t>2.12</w:t>
      </w:r>
      <w:r>
        <w:tab/>
      </w:r>
      <w:r w:rsidRPr="00935C4E">
        <w:t>Nevertheless this is still a creditable performance and is a considerable boost to employment numbers and incomes within the Lancashire economy.</w:t>
      </w:r>
    </w:p>
    <w:p w:rsidR="00E17DA2" w:rsidRDefault="00E17DA2" w:rsidP="00E17DA2">
      <w:pPr>
        <w:ind w:left="709" w:hanging="709"/>
      </w:pPr>
    </w:p>
    <w:p w:rsidR="00E17DA2" w:rsidRPr="00BC4505" w:rsidRDefault="00E17DA2" w:rsidP="00E17DA2">
      <w:pPr>
        <w:ind w:left="709"/>
        <w:rPr>
          <w:b/>
          <w:color w:val="ED7D31" w:themeColor="accent2"/>
        </w:rPr>
      </w:pPr>
      <w:r w:rsidRPr="00BC4505">
        <w:rPr>
          <w:b/>
          <w:color w:val="ED7D31" w:themeColor="accent2"/>
        </w:rPr>
        <w:t>Jobs Safeguarded (R1b)</w:t>
      </w:r>
    </w:p>
    <w:p w:rsidR="00E17DA2" w:rsidRDefault="00E17DA2" w:rsidP="00E17DA2">
      <w:pPr>
        <w:ind w:left="709" w:hanging="709"/>
      </w:pPr>
    </w:p>
    <w:p w:rsidR="00E17DA2" w:rsidRPr="00935C4E" w:rsidRDefault="00E17DA2" w:rsidP="00E17DA2">
      <w:pPr>
        <w:ind w:left="709" w:hanging="709"/>
      </w:pPr>
      <w:r>
        <w:t>2.13</w:t>
      </w:r>
      <w:r>
        <w:tab/>
      </w:r>
      <w:r w:rsidRPr="00935C4E">
        <w:t xml:space="preserve">In addition to jobs created Boost has monitored those instances where businesses have made a direct link between the support received from the Lancashire Growth Hub, and the safeguarding of jobs within their businesses. Whilst the achievement of </w:t>
      </w:r>
      <w:r w:rsidRPr="00935C4E">
        <w:rPr>
          <w:b/>
        </w:rPr>
        <w:t>294.3</w:t>
      </w:r>
      <w:r w:rsidRPr="00935C4E">
        <w:t xml:space="preserve"> jobs safeguarded against the target of </w:t>
      </w:r>
      <w:r w:rsidRPr="00935C4E">
        <w:rPr>
          <w:b/>
        </w:rPr>
        <w:t>461</w:t>
      </w:r>
      <w:r w:rsidRPr="00935C4E">
        <w:t xml:space="preserve"> may seem somewhat disappointing, it should be remembered that Boost has operated against a backdrop of the UK economy emerging from a deep recession, and </w:t>
      </w:r>
      <w:r>
        <w:t>most businesses supported by B</w:t>
      </w:r>
      <w:r w:rsidRPr="00935C4E">
        <w:t>oost have either recorded significant new jobs, an increase in GVA, or other growth related activities.</w:t>
      </w:r>
    </w:p>
    <w:p w:rsidR="00E17DA2" w:rsidRDefault="00E17DA2" w:rsidP="00E17DA2">
      <w:pPr>
        <w:ind w:left="709" w:hanging="709"/>
      </w:pPr>
    </w:p>
    <w:p w:rsidR="00E17DA2" w:rsidRPr="00010EBC" w:rsidRDefault="00E17DA2" w:rsidP="00E17DA2">
      <w:pPr>
        <w:ind w:left="709"/>
        <w:rPr>
          <w:b/>
          <w:color w:val="ED7D31" w:themeColor="accent2"/>
        </w:rPr>
      </w:pPr>
      <w:r w:rsidRPr="00010EBC">
        <w:rPr>
          <w:b/>
          <w:color w:val="ED7D31" w:themeColor="accent2"/>
        </w:rPr>
        <w:t>GVA Increase (R3)</w:t>
      </w:r>
    </w:p>
    <w:p w:rsidR="00E17DA2" w:rsidRDefault="00E17DA2" w:rsidP="00E17DA2">
      <w:pPr>
        <w:ind w:left="709" w:hanging="709"/>
      </w:pPr>
    </w:p>
    <w:p w:rsidR="00E17DA2" w:rsidRPr="00935C4E" w:rsidRDefault="00E17DA2" w:rsidP="00E17DA2">
      <w:pPr>
        <w:ind w:left="709" w:hanging="709"/>
      </w:pPr>
      <w:r>
        <w:t>2.14</w:t>
      </w:r>
      <w:r>
        <w:tab/>
      </w:r>
      <w:r w:rsidRPr="00935C4E">
        <w:t>The measure of improved Gross Value Added (GVA) is an important indicator of growth in the Lancashire economy through increased economic activity. The methodology for recording GVA is well established and within Boost the evidence has been gathered directly from the SMEs supported.</w:t>
      </w:r>
    </w:p>
    <w:p w:rsidR="00E17DA2" w:rsidRPr="00935C4E" w:rsidRDefault="00E17DA2" w:rsidP="00E17DA2">
      <w:pPr>
        <w:ind w:left="709" w:hanging="709"/>
      </w:pPr>
    </w:p>
    <w:p w:rsidR="00E17DA2" w:rsidRDefault="00E17DA2" w:rsidP="00E17DA2">
      <w:pPr>
        <w:ind w:left="709" w:hanging="709"/>
      </w:pPr>
      <w:r>
        <w:t>2.15</w:t>
      </w:r>
      <w:r>
        <w:tab/>
      </w:r>
      <w:r w:rsidRPr="00935C4E">
        <w:t xml:space="preserve">The programme target of </w:t>
      </w:r>
      <w:r w:rsidRPr="00935C4E">
        <w:rPr>
          <w:b/>
        </w:rPr>
        <w:t>£18,000,000</w:t>
      </w:r>
      <w:r w:rsidRPr="00935C4E">
        <w:t xml:space="preserve"> has been over achieved by a factor of </w:t>
      </w:r>
      <w:r>
        <w:t>283</w:t>
      </w:r>
      <w:r w:rsidRPr="00935C4E">
        <w:t xml:space="preserve">%. Some </w:t>
      </w:r>
      <w:r>
        <w:rPr>
          <w:b/>
        </w:rPr>
        <w:t>£50,943</w:t>
      </w:r>
      <w:r w:rsidRPr="00935C4E">
        <w:rPr>
          <w:b/>
        </w:rPr>
        <w:t xml:space="preserve">,000 </w:t>
      </w:r>
      <w:r w:rsidRPr="00935C4E">
        <w:t xml:space="preserve">of increased GVA has been reported by </w:t>
      </w:r>
      <w:r>
        <w:t xml:space="preserve">407 </w:t>
      </w:r>
      <w:r w:rsidRPr="00935C4E">
        <w:t xml:space="preserve">businesses supported </w:t>
      </w:r>
      <w:r>
        <w:t>through</w:t>
      </w:r>
      <w:r w:rsidRPr="00935C4E">
        <w:t xml:space="preserve"> Boost since July 2013. This is a significant achievement, particularly at a time of economic recovery, and provides a good platform for the new phase of Boost beginning in early 2016. </w:t>
      </w:r>
    </w:p>
    <w:p w:rsidR="00E17DA2" w:rsidRDefault="00E17DA2" w:rsidP="00E17DA2">
      <w:pPr>
        <w:ind w:left="709" w:hanging="709"/>
      </w:pPr>
    </w:p>
    <w:p w:rsidR="00E17DA2" w:rsidRPr="00935C4E" w:rsidRDefault="00E17DA2" w:rsidP="00E17DA2">
      <w:pPr>
        <w:ind w:left="709" w:hanging="709"/>
      </w:pPr>
      <w:r>
        <w:t>2.16</w:t>
      </w:r>
      <w:r>
        <w:tab/>
      </w:r>
      <w:r>
        <w:t>This growth has not resulted in as high an increase in employment in the businesses concerned as might have been expected. This is attributed to businesses being more cautious as the economy moves out of recession, investing in more efficient production methods and processes rather than in job creation.</w:t>
      </w:r>
    </w:p>
    <w:p w:rsidR="00E17DA2" w:rsidRDefault="00E17DA2" w:rsidP="00E17DA2">
      <w:pPr>
        <w:ind w:left="709" w:hanging="709"/>
      </w:pPr>
    </w:p>
    <w:p w:rsidR="00E17DA2" w:rsidRDefault="00E17DA2" w:rsidP="00E17DA2">
      <w:pPr>
        <w:ind w:left="709" w:hanging="709"/>
      </w:pPr>
    </w:p>
    <w:p w:rsidR="00E17DA2" w:rsidRPr="00935C4E" w:rsidRDefault="00E17DA2" w:rsidP="00F6738D">
      <w:pPr>
        <w:ind w:left="709"/>
        <w:rPr>
          <w:b/>
          <w:color w:val="ED7D31" w:themeColor="accent2"/>
        </w:rPr>
      </w:pPr>
      <w:r w:rsidRPr="00935C4E">
        <w:rPr>
          <w:b/>
          <w:color w:val="ED7D31" w:themeColor="accent2"/>
        </w:rPr>
        <w:t>Businesses Created/Pre-start assistance (O2/O2a)</w:t>
      </w:r>
    </w:p>
    <w:p w:rsidR="00E17DA2" w:rsidRDefault="00E17DA2" w:rsidP="00E17DA2">
      <w:pPr>
        <w:ind w:left="709" w:hanging="709"/>
      </w:pPr>
    </w:p>
    <w:p w:rsidR="00E17DA2" w:rsidRPr="00935C4E" w:rsidRDefault="00E17DA2" w:rsidP="00E17DA2">
      <w:pPr>
        <w:ind w:left="709" w:hanging="709"/>
      </w:pPr>
      <w:r>
        <w:t>2.17</w:t>
      </w:r>
      <w:r>
        <w:tab/>
      </w:r>
      <w:r>
        <w:t xml:space="preserve">In order to support those individuals who wanted to launch their own businesses, and to help new and young businesses to establish and grow, a range of support has been provided through Boost. This has included pre-start support together with ongoing support for early stage businesses.  The project had a combined target of </w:t>
      </w:r>
      <w:r w:rsidRPr="00857E2B">
        <w:rPr>
          <w:b/>
        </w:rPr>
        <w:t>560</w:t>
      </w:r>
      <w:r>
        <w:t xml:space="preserve"> new businesses supported and achieved a figure of </w:t>
      </w:r>
      <w:r w:rsidRPr="00857E2B">
        <w:rPr>
          <w:b/>
        </w:rPr>
        <w:t>547</w:t>
      </w:r>
      <w:r>
        <w:t xml:space="preserve"> overall.  This was </w:t>
      </w:r>
      <w:r>
        <w:lastRenderedPageBreak/>
        <w:t xml:space="preserve">made up of </w:t>
      </w:r>
      <w:r w:rsidRPr="00857E2B">
        <w:rPr>
          <w:b/>
        </w:rPr>
        <w:t>286</w:t>
      </w:r>
      <w:r>
        <w:t xml:space="preserve"> pre-start individuals supported against a target of</w:t>
      </w:r>
      <w:r w:rsidRPr="00857E2B">
        <w:rPr>
          <w:b/>
        </w:rPr>
        <w:t xml:space="preserve"> 260</w:t>
      </w:r>
      <w:r>
        <w:t xml:space="preserve">, and </w:t>
      </w:r>
      <w:r w:rsidRPr="00857E2B">
        <w:rPr>
          <w:b/>
        </w:rPr>
        <w:t>261</w:t>
      </w:r>
      <w:r>
        <w:t xml:space="preserve"> existing businesses assisted compared with a target of </w:t>
      </w:r>
      <w:r w:rsidRPr="00857E2B">
        <w:rPr>
          <w:b/>
        </w:rPr>
        <w:t>300</w:t>
      </w:r>
      <w:r>
        <w:t xml:space="preserve">.  </w:t>
      </w:r>
    </w:p>
    <w:p w:rsidR="00E17DA2" w:rsidRDefault="00E17DA2" w:rsidP="00E17DA2">
      <w:pPr>
        <w:ind w:left="709" w:hanging="709"/>
      </w:pPr>
    </w:p>
    <w:p w:rsidR="00E17DA2" w:rsidRDefault="00E17DA2" w:rsidP="00E17DA2">
      <w:pPr>
        <w:ind w:left="709" w:hanging="709"/>
      </w:pPr>
      <w:r>
        <w:t>2.18</w:t>
      </w:r>
      <w:r>
        <w:tab/>
      </w:r>
      <w:r>
        <w:t>The split between pre-start and early stage businesses assisted reflected actual market demand from SMEs and is not an adverse result for the project overall.  Of more concern however is the lower number of pre-start individuals who progressed to launching a new business.</w:t>
      </w:r>
    </w:p>
    <w:p w:rsidR="00E17DA2" w:rsidRDefault="00E17DA2" w:rsidP="00E17DA2">
      <w:pPr>
        <w:ind w:left="709" w:hanging="709"/>
      </w:pPr>
    </w:p>
    <w:p w:rsidR="00E17DA2" w:rsidRPr="00144D5A" w:rsidRDefault="00E17DA2" w:rsidP="00E17DA2">
      <w:pPr>
        <w:ind w:left="709"/>
        <w:rPr>
          <w:b/>
          <w:color w:val="ED7D31" w:themeColor="accent2"/>
        </w:rPr>
      </w:pPr>
      <w:r w:rsidRPr="00144D5A">
        <w:rPr>
          <w:b/>
          <w:color w:val="ED7D31" w:themeColor="accent2"/>
        </w:rPr>
        <w:t>Businesses Created (R2)</w:t>
      </w:r>
    </w:p>
    <w:p w:rsidR="00E17DA2" w:rsidRDefault="00E17DA2" w:rsidP="00E17DA2">
      <w:pPr>
        <w:ind w:left="709" w:hanging="709"/>
      </w:pPr>
    </w:p>
    <w:p w:rsidR="00E17DA2" w:rsidRDefault="00E17DA2" w:rsidP="00E17DA2">
      <w:pPr>
        <w:ind w:left="709" w:hanging="709"/>
      </w:pPr>
      <w:r>
        <w:t>2.19</w:t>
      </w:r>
      <w:r>
        <w:tab/>
      </w:r>
      <w:r>
        <w:t xml:space="preserve">The target for the number of new businesses launched by Boost was </w:t>
      </w:r>
      <w:r w:rsidRPr="00144D5A">
        <w:rPr>
          <w:b/>
        </w:rPr>
        <w:t>180</w:t>
      </w:r>
      <w:r>
        <w:t xml:space="preserve">.  It was somewhat disappointing that at the end of the project </w:t>
      </w:r>
      <w:r>
        <w:rPr>
          <w:b/>
        </w:rPr>
        <w:t>104</w:t>
      </w:r>
      <w:r>
        <w:t xml:space="preserve"> new businesses had been recorded. In mitigation, the delivery partner reports that recent monitoring shows that the number of new business starts is projected to rise significantly in the early part of 2016, as many individuals who have participated in the LEAP start up programme in the latter half of 2015 intend to commence trading in the New Year.</w:t>
      </w:r>
    </w:p>
    <w:p w:rsidR="00E17DA2" w:rsidRDefault="00E17DA2" w:rsidP="00E17DA2">
      <w:pPr>
        <w:ind w:left="709" w:hanging="709"/>
      </w:pPr>
    </w:p>
    <w:p w:rsidR="00E17DA2" w:rsidRDefault="00E17DA2" w:rsidP="00E17DA2">
      <w:pPr>
        <w:ind w:left="709" w:hanging="709"/>
      </w:pPr>
      <w:r>
        <w:t>2.20</w:t>
      </w:r>
      <w:r>
        <w:tab/>
      </w:r>
      <w:r>
        <w:t>The conversion rate of 36.4% new businesses from 286 individuals who received pre-start support is less than may be expected for this type of support programme.  The lessons from the past 2.5 years in providing pre-start support have been used to improve and enhance the start-up programme for Boost 2 in order to improve this conversion rate.</w:t>
      </w:r>
    </w:p>
    <w:p w:rsidR="00E17DA2" w:rsidRDefault="00E17DA2" w:rsidP="00E17DA2">
      <w:pPr>
        <w:ind w:left="709" w:hanging="709"/>
      </w:pPr>
    </w:p>
    <w:p w:rsidR="00E17DA2" w:rsidRPr="00445C23" w:rsidRDefault="00E17DA2" w:rsidP="00E17DA2">
      <w:pPr>
        <w:ind w:left="709"/>
        <w:rPr>
          <w:b/>
          <w:color w:val="ED7D31" w:themeColor="accent2"/>
        </w:rPr>
      </w:pPr>
      <w:r w:rsidRPr="00445C23">
        <w:rPr>
          <w:b/>
          <w:color w:val="ED7D31" w:themeColor="accent2"/>
        </w:rPr>
        <w:t>Individuals assisted with skills development</w:t>
      </w:r>
    </w:p>
    <w:p w:rsidR="00E17DA2" w:rsidRDefault="00E17DA2" w:rsidP="00E17DA2">
      <w:pPr>
        <w:ind w:left="709" w:hanging="709"/>
      </w:pPr>
    </w:p>
    <w:p w:rsidR="00E17DA2" w:rsidRDefault="00E17DA2" w:rsidP="00E17DA2">
      <w:pPr>
        <w:ind w:left="709" w:hanging="709"/>
      </w:pPr>
      <w:r>
        <w:t>2.21</w:t>
      </w:r>
      <w:r>
        <w:tab/>
      </w:r>
      <w:r>
        <w:t xml:space="preserve">One of the ways in which Boost has sought to promote growth within SMEs, is to support the development of skills for those individuals who can influence the growth proposals of the SMEs in which they work. A target of </w:t>
      </w:r>
      <w:r w:rsidRPr="00445C23">
        <w:rPr>
          <w:b/>
        </w:rPr>
        <w:t>450</w:t>
      </w:r>
      <w:r>
        <w:t xml:space="preserve"> was set at the beginning of the project and </w:t>
      </w:r>
      <w:r w:rsidRPr="00445C23">
        <w:rPr>
          <w:b/>
        </w:rPr>
        <w:t>450</w:t>
      </w:r>
      <w:r>
        <w:t xml:space="preserve"> skills assists have been secured.</w:t>
      </w:r>
    </w:p>
    <w:p w:rsidR="00E17DA2" w:rsidRDefault="00E17DA2" w:rsidP="00E17DA2">
      <w:pPr>
        <w:ind w:left="709" w:hanging="709"/>
      </w:pPr>
    </w:p>
    <w:p w:rsidR="00E17DA2" w:rsidRDefault="00E17DA2" w:rsidP="00E17DA2">
      <w:pPr>
        <w:ind w:left="709" w:hanging="709"/>
      </w:pPr>
      <w:r>
        <w:t>2.22</w:t>
      </w:r>
      <w:r>
        <w:tab/>
      </w:r>
      <w:r>
        <w:t>This is a very good achievement, and the programme has been well appreciated by the companies who have participated. The target was achieved many months before the end of the project and a significant number of further skills assists would have been possible if additional funding had been available.</w:t>
      </w:r>
    </w:p>
    <w:p w:rsidR="00E17DA2" w:rsidRDefault="00E17DA2" w:rsidP="00E17DA2">
      <w:pPr>
        <w:ind w:left="709" w:hanging="709"/>
      </w:pPr>
    </w:p>
    <w:p w:rsidR="00E17DA2" w:rsidRPr="008354B3" w:rsidRDefault="00E17DA2" w:rsidP="00E17DA2">
      <w:pPr>
        <w:ind w:left="709"/>
        <w:rPr>
          <w:b/>
          <w:color w:val="ED7D31" w:themeColor="accent2"/>
        </w:rPr>
      </w:pPr>
      <w:r w:rsidRPr="008354B3">
        <w:rPr>
          <w:b/>
          <w:color w:val="ED7D31" w:themeColor="accent2"/>
        </w:rPr>
        <w:t>Summary</w:t>
      </w:r>
    </w:p>
    <w:p w:rsidR="00E17DA2" w:rsidRDefault="00E17DA2" w:rsidP="00E17DA2">
      <w:pPr>
        <w:ind w:left="709" w:hanging="709"/>
      </w:pPr>
    </w:p>
    <w:p w:rsidR="00E17DA2" w:rsidRDefault="00E17DA2" w:rsidP="00E17DA2">
      <w:pPr>
        <w:ind w:left="709" w:hanging="709"/>
      </w:pPr>
      <w:r>
        <w:t>2.23</w:t>
      </w:r>
      <w:r>
        <w:tab/>
      </w:r>
      <w:r>
        <w:t>Overall Boost has been a very successful project and has for the most part met its target outputs. If the Lancashire LEAP project had performed to expectation in terms of jobs created and new businesses started, Boost would have met or exceeded all bar one (jobs safeguarded) of its targets.</w:t>
      </w:r>
    </w:p>
    <w:p w:rsidR="00E17DA2" w:rsidRDefault="00E17DA2" w:rsidP="00E17DA2">
      <w:pPr>
        <w:ind w:left="709" w:hanging="709"/>
      </w:pPr>
    </w:p>
    <w:p w:rsidR="00E17DA2" w:rsidRPr="008354B3" w:rsidRDefault="00E17DA2" w:rsidP="00E17DA2">
      <w:pPr>
        <w:ind w:left="709" w:hanging="709"/>
      </w:pPr>
      <w:r>
        <w:t>2.24</w:t>
      </w:r>
      <w:r>
        <w:tab/>
      </w:r>
      <w:r>
        <w:t>Nevertheless as a programme that was launched at a time of economic recession, Boost has made a significant contribution to the growth of SMEs in Lancashire, with over 900 of the 1278 businesses assisted demonstrating improved performance and over £50 million of additional GVA secured for the Lancashire economy.</w:t>
      </w:r>
    </w:p>
    <w:p w:rsidR="00E17DA2" w:rsidRDefault="00E17DA2" w:rsidP="00E17DA2">
      <w:pPr>
        <w:ind w:left="709" w:hanging="709"/>
        <w:rPr>
          <w:b/>
          <w:color w:val="ED7D31" w:themeColor="accent2"/>
        </w:rPr>
      </w:pPr>
    </w:p>
    <w:p w:rsidR="00E17DA2" w:rsidRDefault="00E17DA2">
      <w:pPr>
        <w:rPr>
          <w:b/>
          <w:color w:val="ED7D31" w:themeColor="accent2"/>
        </w:rPr>
      </w:pPr>
      <w:r>
        <w:rPr>
          <w:b/>
          <w:color w:val="ED7D31" w:themeColor="accent2"/>
        </w:rPr>
        <w:br w:type="page"/>
      </w:r>
    </w:p>
    <w:p w:rsidR="00E17DA2" w:rsidRPr="00214365" w:rsidRDefault="00F6738D" w:rsidP="00E17DA2">
      <w:pPr>
        <w:ind w:left="709" w:hanging="709"/>
        <w:rPr>
          <w:b/>
          <w:color w:val="ED7D31" w:themeColor="accent2"/>
        </w:rPr>
      </w:pPr>
      <w:r>
        <w:rPr>
          <w:b/>
          <w:color w:val="ED7D31" w:themeColor="accent2"/>
        </w:rPr>
        <w:lastRenderedPageBreak/>
        <w:t xml:space="preserve">Table 1. </w:t>
      </w:r>
      <w:r w:rsidR="00E17DA2" w:rsidRPr="00214365">
        <w:rPr>
          <w:b/>
          <w:color w:val="ED7D31" w:themeColor="accent2"/>
        </w:rPr>
        <w:t xml:space="preserve">Summary </w:t>
      </w:r>
      <w:r w:rsidR="00E17DA2">
        <w:rPr>
          <w:b/>
          <w:color w:val="ED7D31" w:themeColor="accent2"/>
        </w:rPr>
        <w:t xml:space="preserve">output </w:t>
      </w:r>
      <w:r w:rsidR="00E17DA2" w:rsidRPr="00214365">
        <w:rPr>
          <w:b/>
          <w:color w:val="ED7D31" w:themeColor="accent2"/>
        </w:rPr>
        <w:t xml:space="preserve">table </w:t>
      </w:r>
    </w:p>
    <w:p w:rsidR="00E17DA2" w:rsidRDefault="00E17DA2" w:rsidP="00E17DA2">
      <w:pPr>
        <w:ind w:left="709" w:hanging="709"/>
      </w:pPr>
    </w:p>
    <w:tbl>
      <w:tblPr>
        <w:tblStyle w:val="TableGrid"/>
        <w:tblW w:w="0" w:type="auto"/>
        <w:tblLook w:val="00BF" w:firstRow="1" w:lastRow="0" w:firstColumn="1" w:lastColumn="0" w:noHBand="0" w:noVBand="0"/>
      </w:tblPr>
      <w:tblGrid>
        <w:gridCol w:w="4786"/>
        <w:gridCol w:w="1276"/>
        <w:gridCol w:w="2454"/>
      </w:tblGrid>
      <w:tr w:rsidR="00E17DA2" w:rsidRPr="004C359F" w:rsidTr="00FA19BD">
        <w:tc>
          <w:tcPr>
            <w:tcW w:w="4786" w:type="dxa"/>
            <w:shd w:val="clear" w:color="auto" w:fill="D9D9D9"/>
          </w:tcPr>
          <w:p w:rsidR="00E17DA2" w:rsidRPr="004C359F" w:rsidRDefault="00E17DA2" w:rsidP="00E17DA2">
            <w:pPr>
              <w:ind w:left="709" w:hanging="709"/>
              <w:rPr>
                <w:b/>
              </w:rPr>
            </w:pPr>
            <w:r w:rsidRPr="004C359F">
              <w:rPr>
                <w:b/>
              </w:rPr>
              <w:t>Indicator</w:t>
            </w:r>
          </w:p>
        </w:tc>
        <w:tc>
          <w:tcPr>
            <w:tcW w:w="1276" w:type="dxa"/>
            <w:shd w:val="clear" w:color="auto" w:fill="D9D9D9"/>
          </w:tcPr>
          <w:p w:rsidR="00E17DA2" w:rsidRPr="004C359F" w:rsidRDefault="00E17DA2" w:rsidP="00E17DA2">
            <w:pPr>
              <w:ind w:left="709" w:hanging="709"/>
              <w:rPr>
                <w:b/>
              </w:rPr>
            </w:pPr>
            <w:r w:rsidRPr="004C359F">
              <w:rPr>
                <w:b/>
              </w:rPr>
              <w:t>Target</w:t>
            </w:r>
          </w:p>
        </w:tc>
        <w:tc>
          <w:tcPr>
            <w:tcW w:w="2454" w:type="dxa"/>
            <w:shd w:val="clear" w:color="auto" w:fill="D9D9D9"/>
          </w:tcPr>
          <w:p w:rsidR="00E17DA2" w:rsidRPr="004C359F" w:rsidRDefault="00E17DA2" w:rsidP="00E17DA2">
            <w:pPr>
              <w:ind w:left="709" w:hanging="709"/>
              <w:rPr>
                <w:b/>
              </w:rPr>
            </w:pPr>
            <w:r w:rsidRPr="004C359F">
              <w:rPr>
                <w:b/>
              </w:rPr>
              <w:t xml:space="preserve">Achieved </w:t>
            </w:r>
          </w:p>
        </w:tc>
      </w:tr>
      <w:tr w:rsidR="00E17DA2" w:rsidTr="00FA19BD">
        <w:tc>
          <w:tcPr>
            <w:tcW w:w="4786" w:type="dxa"/>
          </w:tcPr>
          <w:p w:rsidR="00E17DA2" w:rsidRDefault="00E17DA2" w:rsidP="00E17DA2">
            <w:pPr>
              <w:ind w:left="709" w:hanging="709"/>
            </w:pPr>
            <w:r>
              <w:t xml:space="preserve">Businesses assisted to improve their </w:t>
            </w:r>
          </w:p>
          <w:p w:rsidR="00E17DA2" w:rsidRDefault="00E17DA2" w:rsidP="00E17DA2">
            <w:pPr>
              <w:ind w:left="709" w:hanging="709"/>
            </w:pPr>
            <w:r>
              <w:t>Performance (net)</w:t>
            </w:r>
          </w:p>
        </w:tc>
        <w:tc>
          <w:tcPr>
            <w:tcW w:w="1276" w:type="dxa"/>
          </w:tcPr>
          <w:p w:rsidR="00E17DA2" w:rsidRDefault="00E17DA2" w:rsidP="00E17DA2">
            <w:pPr>
              <w:ind w:left="709" w:hanging="709"/>
            </w:pPr>
            <w:r>
              <w:t>1269</w:t>
            </w:r>
          </w:p>
        </w:tc>
        <w:tc>
          <w:tcPr>
            <w:tcW w:w="2454" w:type="dxa"/>
          </w:tcPr>
          <w:p w:rsidR="00E17DA2" w:rsidRDefault="00E17DA2" w:rsidP="00E17DA2">
            <w:pPr>
              <w:ind w:left="709" w:hanging="709"/>
            </w:pPr>
            <w:r>
              <w:t>1278          (100.1%)</w:t>
            </w:r>
          </w:p>
        </w:tc>
      </w:tr>
      <w:tr w:rsidR="00E17DA2" w:rsidTr="00FA19BD">
        <w:tc>
          <w:tcPr>
            <w:tcW w:w="4786" w:type="dxa"/>
          </w:tcPr>
          <w:p w:rsidR="00E17DA2" w:rsidRDefault="00E17DA2" w:rsidP="00E17DA2">
            <w:pPr>
              <w:ind w:left="709" w:hanging="709"/>
            </w:pPr>
            <w:r>
              <w:t>Businesses with improved performance</w:t>
            </w:r>
          </w:p>
        </w:tc>
        <w:tc>
          <w:tcPr>
            <w:tcW w:w="1276" w:type="dxa"/>
          </w:tcPr>
          <w:p w:rsidR="00E17DA2" w:rsidRDefault="00E17DA2" w:rsidP="00E17DA2">
            <w:pPr>
              <w:ind w:left="709" w:hanging="709"/>
            </w:pPr>
            <w:r>
              <w:t>795</w:t>
            </w:r>
          </w:p>
        </w:tc>
        <w:tc>
          <w:tcPr>
            <w:tcW w:w="2454" w:type="dxa"/>
          </w:tcPr>
          <w:p w:rsidR="00E17DA2" w:rsidRDefault="00E17DA2" w:rsidP="00E17DA2">
            <w:pPr>
              <w:ind w:left="709" w:hanging="709"/>
            </w:pPr>
            <w:r>
              <w:t>909              (114%)</w:t>
            </w:r>
          </w:p>
        </w:tc>
      </w:tr>
      <w:tr w:rsidR="00E17DA2" w:rsidTr="00FA19BD">
        <w:tc>
          <w:tcPr>
            <w:tcW w:w="4786" w:type="dxa"/>
          </w:tcPr>
          <w:p w:rsidR="00E17DA2" w:rsidRDefault="00E17DA2" w:rsidP="00E17DA2">
            <w:pPr>
              <w:ind w:left="709" w:hanging="709"/>
            </w:pPr>
            <w:r>
              <w:t xml:space="preserve">Jobs created </w:t>
            </w:r>
          </w:p>
        </w:tc>
        <w:tc>
          <w:tcPr>
            <w:tcW w:w="1276" w:type="dxa"/>
          </w:tcPr>
          <w:p w:rsidR="00E17DA2" w:rsidRDefault="00E17DA2" w:rsidP="00E17DA2">
            <w:pPr>
              <w:ind w:left="709" w:hanging="709"/>
            </w:pPr>
            <w:r>
              <w:t>1488</w:t>
            </w:r>
          </w:p>
        </w:tc>
        <w:tc>
          <w:tcPr>
            <w:tcW w:w="2454" w:type="dxa"/>
          </w:tcPr>
          <w:p w:rsidR="00E17DA2" w:rsidRDefault="00E17DA2" w:rsidP="00E17DA2">
            <w:pPr>
              <w:ind w:left="709" w:hanging="709"/>
            </w:pPr>
            <w:r>
              <w:t>1166            (78.4%)</w:t>
            </w:r>
          </w:p>
        </w:tc>
      </w:tr>
      <w:tr w:rsidR="00E17DA2" w:rsidTr="00FA19BD">
        <w:tc>
          <w:tcPr>
            <w:tcW w:w="4786" w:type="dxa"/>
          </w:tcPr>
          <w:p w:rsidR="00E17DA2" w:rsidRDefault="00E17DA2" w:rsidP="00E17DA2">
            <w:pPr>
              <w:ind w:left="709" w:hanging="709"/>
            </w:pPr>
            <w:r>
              <w:t>Jobs safeguarded</w:t>
            </w:r>
          </w:p>
        </w:tc>
        <w:tc>
          <w:tcPr>
            <w:tcW w:w="1276" w:type="dxa"/>
          </w:tcPr>
          <w:p w:rsidR="00E17DA2" w:rsidRDefault="00E17DA2" w:rsidP="00E17DA2">
            <w:pPr>
              <w:ind w:left="709" w:hanging="709"/>
            </w:pPr>
            <w:r>
              <w:t>461</w:t>
            </w:r>
          </w:p>
        </w:tc>
        <w:tc>
          <w:tcPr>
            <w:tcW w:w="2454" w:type="dxa"/>
          </w:tcPr>
          <w:p w:rsidR="00E17DA2" w:rsidRDefault="00E17DA2" w:rsidP="00E17DA2">
            <w:pPr>
              <w:ind w:left="709" w:hanging="709"/>
            </w:pPr>
            <w:r>
              <w:t>294.3           (63.8%)</w:t>
            </w:r>
          </w:p>
        </w:tc>
      </w:tr>
      <w:tr w:rsidR="00E17DA2" w:rsidTr="00FA19BD">
        <w:tc>
          <w:tcPr>
            <w:tcW w:w="4786" w:type="dxa"/>
          </w:tcPr>
          <w:p w:rsidR="00E17DA2" w:rsidRDefault="00E17DA2" w:rsidP="00E17DA2">
            <w:pPr>
              <w:ind w:left="709" w:hanging="709"/>
            </w:pPr>
            <w:r>
              <w:t>GVA increase</w:t>
            </w:r>
          </w:p>
        </w:tc>
        <w:tc>
          <w:tcPr>
            <w:tcW w:w="1276" w:type="dxa"/>
          </w:tcPr>
          <w:p w:rsidR="00E17DA2" w:rsidRDefault="00E17DA2" w:rsidP="00E17DA2">
            <w:pPr>
              <w:ind w:left="709" w:hanging="709"/>
            </w:pPr>
            <w:r>
              <w:t>£18m</w:t>
            </w:r>
          </w:p>
        </w:tc>
        <w:tc>
          <w:tcPr>
            <w:tcW w:w="2454" w:type="dxa"/>
          </w:tcPr>
          <w:p w:rsidR="00E17DA2" w:rsidRDefault="00E17DA2" w:rsidP="00E17DA2">
            <w:pPr>
              <w:ind w:left="709" w:hanging="709"/>
            </w:pPr>
            <w:r>
              <w:t>£50.94m       (283%)</w:t>
            </w:r>
          </w:p>
        </w:tc>
      </w:tr>
      <w:tr w:rsidR="00E17DA2" w:rsidTr="00FA19BD">
        <w:tc>
          <w:tcPr>
            <w:tcW w:w="4786" w:type="dxa"/>
          </w:tcPr>
          <w:p w:rsidR="00E17DA2" w:rsidRDefault="00E17DA2" w:rsidP="00E17DA2">
            <w:pPr>
              <w:ind w:left="709" w:hanging="709"/>
            </w:pPr>
            <w:r>
              <w:t>Pre-start individuals assisted</w:t>
            </w:r>
          </w:p>
        </w:tc>
        <w:tc>
          <w:tcPr>
            <w:tcW w:w="1276" w:type="dxa"/>
          </w:tcPr>
          <w:p w:rsidR="00E17DA2" w:rsidRDefault="00E17DA2" w:rsidP="00E17DA2">
            <w:pPr>
              <w:ind w:left="709" w:hanging="709"/>
            </w:pPr>
            <w:r>
              <w:t>260</w:t>
            </w:r>
          </w:p>
        </w:tc>
        <w:tc>
          <w:tcPr>
            <w:tcW w:w="2454" w:type="dxa"/>
          </w:tcPr>
          <w:p w:rsidR="00E17DA2" w:rsidRDefault="00E17DA2" w:rsidP="00E17DA2">
            <w:pPr>
              <w:ind w:left="709" w:hanging="709"/>
            </w:pPr>
            <w:r>
              <w:t>286               (110%)</w:t>
            </w:r>
          </w:p>
        </w:tc>
      </w:tr>
      <w:tr w:rsidR="00E17DA2" w:rsidTr="00FA19BD">
        <w:tc>
          <w:tcPr>
            <w:tcW w:w="4786" w:type="dxa"/>
          </w:tcPr>
          <w:p w:rsidR="00E17DA2" w:rsidRDefault="00E17DA2" w:rsidP="00E17DA2">
            <w:pPr>
              <w:ind w:left="709" w:hanging="709"/>
            </w:pPr>
            <w:r>
              <w:t>Businesses created</w:t>
            </w:r>
          </w:p>
        </w:tc>
        <w:tc>
          <w:tcPr>
            <w:tcW w:w="1276" w:type="dxa"/>
          </w:tcPr>
          <w:p w:rsidR="00E17DA2" w:rsidRDefault="00E17DA2" w:rsidP="00E17DA2">
            <w:pPr>
              <w:ind w:left="709" w:hanging="709"/>
            </w:pPr>
            <w:r>
              <w:t>180</w:t>
            </w:r>
          </w:p>
        </w:tc>
        <w:tc>
          <w:tcPr>
            <w:tcW w:w="2454" w:type="dxa"/>
          </w:tcPr>
          <w:p w:rsidR="00E17DA2" w:rsidRDefault="00E17DA2" w:rsidP="00E17DA2">
            <w:pPr>
              <w:ind w:left="709" w:hanging="709"/>
            </w:pPr>
            <w:r>
              <w:t>104              (57.7%)</w:t>
            </w:r>
          </w:p>
        </w:tc>
      </w:tr>
      <w:tr w:rsidR="00E17DA2" w:rsidTr="00FA19BD">
        <w:tc>
          <w:tcPr>
            <w:tcW w:w="4786" w:type="dxa"/>
          </w:tcPr>
          <w:p w:rsidR="00E17DA2" w:rsidRDefault="00E17DA2" w:rsidP="00E17DA2">
            <w:pPr>
              <w:ind w:left="709" w:hanging="709"/>
            </w:pPr>
            <w:r>
              <w:t>People assisted with skills</w:t>
            </w:r>
          </w:p>
        </w:tc>
        <w:tc>
          <w:tcPr>
            <w:tcW w:w="1276" w:type="dxa"/>
          </w:tcPr>
          <w:p w:rsidR="00E17DA2" w:rsidRDefault="00E17DA2" w:rsidP="00E17DA2">
            <w:pPr>
              <w:ind w:left="709" w:hanging="709"/>
            </w:pPr>
            <w:r>
              <w:t>450</w:t>
            </w:r>
          </w:p>
        </w:tc>
        <w:tc>
          <w:tcPr>
            <w:tcW w:w="2454" w:type="dxa"/>
          </w:tcPr>
          <w:p w:rsidR="00E17DA2" w:rsidRDefault="00E17DA2" w:rsidP="00E17DA2">
            <w:pPr>
              <w:ind w:left="709" w:hanging="709"/>
            </w:pPr>
            <w:r>
              <w:t>450               (100%)</w:t>
            </w:r>
          </w:p>
        </w:tc>
      </w:tr>
    </w:tbl>
    <w:p w:rsidR="00E17DA2" w:rsidRDefault="00E17DA2" w:rsidP="00E17DA2">
      <w:pPr>
        <w:ind w:left="709" w:hanging="709"/>
      </w:pPr>
    </w:p>
    <w:p w:rsidR="000F1CF9" w:rsidRDefault="000F1CF9" w:rsidP="00E17DA2">
      <w:pPr>
        <w:ind w:left="709" w:hanging="709"/>
      </w:pPr>
    </w:p>
    <w:p w:rsidR="000F1CF9" w:rsidRPr="000F1CF9" w:rsidRDefault="000F1CF9" w:rsidP="000F1CF9">
      <w:pPr>
        <w:ind w:left="709" w:hanging="709"/>
        <w:rPr>
          <w:b/>
        </w:rPr>
      </w:pPr>
      <w:r w:rsidRPr="000F1CF9">
        <w:rPr>
          <w:b/>
        </w:rPr>
        <w:t>3.</w:t>
      </w:r>
      <w:r w:rsidRPr="000F1CF9">
        <w:rPr>
          <w:b/>
        </w:rPr>
        <w:tab/>
        <w:t>Boost Moving Forward</w:t>
      </w:r>
    </w:p>
    <w:p w:rsidR="00F6738D" w:rsidRDefault="00F6738D" w:rsidP="000F1CF9">
      <w:pPr>
        <w:tabs>
          <w:tab w:val="left" w:pos="6237"/>
        </w:tabs>
      </w:pPr>
    </w:p>
    <w:p w:rsidR="000F1CF9" w:rsidRDefault="000F1CF9" w:rsidP="000F1CF9">
      <w:pPr>
        <w:ind w:left="709" w:hanging="709"/>
      </w:pPr>
      <w:r>
        <w:t>3.1</w:t>
      </w:r>
      <w:r>
        <w:tab/>
        <w:t>As indicated in Item 5, Boost has now received a conditional offer of ERDF support to continue Growth Hub provision until the 31</w:t>
      </w:r>
      <w:r w:rsidRPr="000F1CF9">
        <w:rPr>
          <w:vertAlign w:val="superscript"/>
        </w:rPr>
        <w:t>st</w:t>
      </w:r>
      <w:r>
        <w:t xml:space="preserve"> December 2018.  We have slimmed to down the project to focus more on key services and referral and are in the process of commissioning Mentoring and Start-up support providers a Gateway service provider and a marketing partner.</w:t>
      </w:r>
      <w:r>
        <w:br/>
      </w:r>
    </w:p>
    <w:p w:rsidR="00990191" w:rsidRDefault="000F1CF9" w:rsidP="000F1CF9">
      <w:pPr>
        <w:ind w:left="709" w:hanging="709"/>
      </w:pPr>
      <w:r>
        <w:t>3.2</w:t>
      </w:r>
      <w:r>
        <w:tab/>
        <w:t>Boost will continue to act as a central referral point for the full range of Lancashire business support offers but businesses themselves will be freed up to access more than one provision.</w:t>
      </w:r>
      <w:r w:rsidR="00990191">
        <w:br/>
      </w:r>
    </w:p>
    <w:p w:rsidR="00990191" w:rsidRDefault="00990191" w:rsidP="000F1CF9">
      <w:pPr>
        <w:ind w:left="709" w:hanging="709"/>
      </w:pPr>
    </w:p>
    <w:p w:rsidR="000F1CF9" w:rsidRDefault="00990191" w:rsidP="000F1CF9">
      <w:pPr>
        <w:ind w:left="709" w:hanging="709"/>
      </w:pPr>
      <w:r>
        <w:tab/>
      </w:r>
      <w:r w:rsidR="000F1CF9">
        <w:t xml:space="preserve">   </w:t>
      </w:r>
      <w:r w:rsidR="000F1CF9">
        <w:tab/>
      </w:r>
    </w:p>
    <w:p w:rsidR="000F1CF9" w:rsidRPr="000F1CF9" w:rsidRDefault="000F1CF9" w:rsidP="000F1CF9">
      <w:pPr>
        <w:tabs>
          <w:tab w:val="left" w:pos="6237"/>
        </w:tabs>
        <w:rPr>
          <w:color w:val="ED7D31" w:themeColor="accent2"/>
          <w:sz w:val="32"/>
        </w:rPr>
        <w:sectPr w:rsidR="000F1CF9" w:rsidRPr="000F1CF9" w:rsidSect="00D630F9">
          <w:footerReference w:type="default" r:id="rId8"/>
          <w:pgSz w:w="12240" w:h="15840"/>
          <w:pgMar w:top="1304" w:right="1701" w:bottom="1361" w:left="1701" w:header="709" w:footer="709" w:gutter="0"/>
          <w:cols w:space="708"/>
          <w:docGrid w:linePitch="360"/>
        </w:sectPr>
      </w:pPr>
    </w:p>
    <w:p w:rsidR="00990191" w:rsidRPr="00454198" w:rsidRDefault="000A4DAB" w:rsidP="00990191">
      <w:pPr>
        <w:tabs>
          <w:tab w:val="left" w:pos="6237"/>
        </w:tabs>
        <w:rPr>
          <w:color w:val="ED7D31" w:themeColor="accent2"/>
          <w:sz w:val="32"/>
        </w:rPr>
      </w:pPr>
      <w:r>
        <w:rPr>
          <w:color w:val="ED7D31" w:themeColor="accent2"/>
          <w:sz w:val="32"/>
        </w:rPr>
        <w:lastRenderedPageBreak/>
        <w:t xml:space="preserve">Table 2 </w:t>
      </w:r>
      <w:r w:rsidR="00990191" w:rsidRPr="00454198">
        <w:rPr>
          <w:color w:val="ED7D31" w:themeColor="accent2"/>
          <w:sz w:val="32"/>
        </w:rPr>
        <w:t>BOOST Business Lancashire – Outturn Performance Table</w:t>
      </w:r>
    </w:p>
    <w:p w:rsidR="00990191" w:rsidRDefault="00990191" w:rsidP="00990191"/>
    <w:p w:rsidR="00990191" w:rsidRDefault="00990191" w:rsidP="00990191"/>
    <w:tbl>
      <w:tblPr>
        <w:tblW w:w="0" w:type="auto"/>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2518"/>
        <w:gridCol w:w="1453"/>
        <w:gridCol w:w="1453"/>
        <w:gridCol w:w="1453"/>
        <w:gridCol w:w="1453"/>
        <w:gridCol w:w="1559"/>
        <w:gridCol w:w="1347"/>
        <w:gridCol w:w="1453"/>
        <w:gridCol w:w="1453"/>
      </w:tblGrid>
      <w:tr w:rsidR="00990191" w:rsidRPr="00D1554A" w:rsidTr="00FA19BD">
        <w:tc>
          <w:tcPr>
            <w:tcW w:w="2518" w:type="dxa"/>
            <w:tcBorders>
              <w:top w:val="single" w:sz="4" w:space="0" w:color="auto"/>
              <w:bottom w:val="nil"/>
            </w:tcBorders>
            <w:shd w:val="clear" w:color="auto" w:fill="D9D9D9"/>
          </w:tcPr>
          <w:p w:rsidR="00990191" w:rsidRPr="00D1554A" w:rsidRDefault="00990191" w:rsidP="00FA19BD">
            <w:pPr>
              <w:rPr>
                <w:b/>
              </w:rPr>
            </w:pPr>
            <w:r>
              <w:rPr>
                <w:b/>
              </w:rPr>
              <w:t>Result Indicator</w:t>
            </w:r>
          </w:p>
        </w:tc>
        <w:tc>
          <w:tcPr>
            <w:tcW w:w="1453" w:type="dxa"/>
            <w:tcBorders>
              <w:top w:val="single" w:sz="4" w:space="0" w:color="auto"/>
              <w:bottom w:val="nil"/>
            </w:tcBorders>
            <w:shd w:val="clear" w:color="auto" w:fill="D9D9D9"/>
          </w:tcPr>
          <w:p w:rsidR="00990191" w:rsidRDefault="00990191" w:rsidP="00FA19BD">
            <w:pPr>
              <w:jc w:val="center"/>
              <w:rPr>
                <w:b/>
                <w:sz w:val="20"/>
              </w:rPr>
            </w:pPr>
            <w:r w:rsidRPr="00A0383D">
              <w:rPr>
                <w:b/>
                <w:sz w:val="20"/>
              </w:rPr>
              <w:t>SMEs assisted to improve their performance</w:t>
            </w:r>
          </w:p>
          <w:p w:rsidR="00990191" w:rsidRPr="00A0383D" w:rsidRDefault="00990191" w:rsidP="00FA19BD">
            <w:pPr>
              <w:jc w:val="center"/>
              <w:rPr>
                <w:b/>
                <w:sz w:val="20"/>
              </w:rPr>
            </w:pPr>
          </w:p>
        </w:tc>
        <w:tc>
          <w:tcPr>
            <w:tcW w:w="1453" w:type="dxa"/>
            <w:tcBorders>
              <w:top w:val="single" w:sz="4" w:space="0" w:color="auto"/>
              <w:bottom w:val="nil"/>
            </w:tcBorders>
            <w:shd w:val="clear" w:color="auto" w:fill="D9D9D9"/>
          </w:tcPr>
          <w:p w:rsidR="00990191" w:rsidRPr="00A0383D" w:rsidRDefault="00990191" w:rsidP="00FA19BD">
            <w:pPr>
              <w:jc w:val="center"/>
              <w:rPr>
                <w:b/>
                <w:sz w:val="20"/>
              </w:rPr>
            </w:pPr>
            <w:r w:rsidRPr="00A0383D">
              <w:rPr>
                <w:b/>
                <w:sz w:val="20"/>
              </w:rPr>
              <w:t>Businesses with improved performance</w:t>
            </w:r>
          </w:p>
        </w:tc>
        <w:tc>
          <w:tcPr>
            <w:tcW w:w="1453" w:type="dxa"/>
            <w:tcBorders>
              <w:top w:val="single" w:sz="4" w:space="0" w:color="auto"/>
              <w:bottom w:val="nil"/>
            </w:tcBorders>
            <w:shd w:val="clear" w:color="auto" w:fill="D9D9D9"/>
          </w:tcPr>
          <w:p w:rsidR="00990191" w:rsidRPr="00010EBC" w:rsidRDefault="00990191" w:rsidP="00FA19BD">
            <w:pPr>
              <w:jc w:val="center"/>
              <w:rPr>
                <w:b/>
                <w:sz w:val="20"/>
              </w:rPr>
            </w:pPr>
            <w:r w:rsidRPr="00010EBC">
              <w:rPr>
                <w:b/>
                <w:sz w:val="20"/>
              </w:rPr>
              <w:t>Jobs Created</w:t>
            </w:r>
          </w:p>
        </w:tc>
        <w:tc>
          <w:tcPr>
            <w:tcW w:w="1453" w:type="dxa"/>
            <w:tcBorders>
              <w:top w:val="single" w:sz="4" w:space="0" w:color="auto"/>
              <w:bottom w:val="nil"/>
            </w:tcBorders>
            <w:shd w:val="clear" w:color="auto" w:fill="D9D9D9"/>
          </w:tcPr>
          <w:p w:rsidR="00990191" w:rsidRPr="00010EBC" w:rsidRDefault="00990191" w:rsidP="00FA19BD">
            <w:pPr>
              <w:jc w:val="center"/>
              <w:rPr>
                <w:b/>
                <w:sz w:val="20"/>
              </w:rPr>
            </w:pPr>
            <w:r w:rsidRPr="00010EBC">
              <w:rPr>
                <w:b/>
                <w:sz w:val="20"/>
              </w:rPr>
              <w:t>Jobs Safeguarded</w:t>
            </w:r>
          </w:p>
        </w:tc>
        <w:tc>
          <w:tcPr>
            <w:tcW w:w="1559" w:type="dxa"/>
            <w:tcBorders>
              <w:top w:val="single" w:sz="4" w:space="0" w:color="auto"/>
              <w:bottom w:val="nil"/>
            </w:tcBorders>
            <w:shd w:val="clear" w:color="auto" w:fill="D9D9D9"/>
          </w:tcPr>
          <w:p w:rsidR="00990191" w:rsidRPr="00D1554A" w:rsidRDefault="00990191" w:rsidP="00FA19BD">
            <w:pPr>
              <w:jc w:val="center"/>
              <w:rPr>
                <w:b/>
              </w:rPr>
            </w:pPr>
            <w:r w:rsidRPr="00D1554A">
              <w:rPr>
                <w:b/>
              </w:rPr>
              <w:t>GVA Increase</w:t>
            </w:r>
          </w:p>
        </w:tc>
        <w:tc>
          <w:tcPr>
            <w:tcW w:w="1347" w:type="dxa"/>
            <w:tcBorders>
              <w:top w:val="single" w:sz="4" w:space="0" w:color="auto"/>
              <w:bottom w:val="nil"/>
            </w:tcBorders>
            <w:shd w:val="clear" w:color="auto" w:fill="D9D9D9"/>
          </w:tcPr>
          <w:p w:rsidR="00990191" w:rsidRPr="00445C23" w:rsidRDefault="00990191" w:rsidP="00FA19BD">
            <w:pPr>
              <w:jc w:val="center"/>
              <w:rPr>
                <w:b/>
                <w:sz w:val="20"/>
              </w:rPr>
            </w:pPr>
            <w:r w:rsidRPr="00445C23">
              <w:rPr>
                <w:b/>
                <w:sz w:val="20"/>
              </w:rPr>
              <w:t>Pre-start individuals assisted</w:t>
            </w:r>
          </w:p>
        </w:tc>
        <w:tc>
          <w:tcPr>
            <w:tcW w:w="1453" w:type="dxa"/>
            <w:tcBorders>
              <w:top w:val="single" w:sz="4" w:space="0" w:color="auto"/>
              <w:bottom w:val="nil"/>
            </w:tcBorders>
            <w:shd w:val="clear" w:color="auto" w:fill="D9D9D9"/>
          </w:tcPr>
          <w:p w:rsidR="00990191" w:rsidRPr="00445C23" w:rsidRDefault="00990191" w:rsidP="00FA19BD">
            <w:pPr>
              <w:jc w:val="center"/>
              <w:rPr>
                <w:b/>
              </w:rPr>
            </w:pPr>
            <w:r w:rsidRPr="00445C23">
              <w:rPr>
                <w:b/>
              </w:rPr>
              <w:t>Businesses Created</w:t>
            </w:r>
          </w:p>
        </w:tc>
        <w:tc>
          <w:tcPr>
            <w:tcW w:w="1453" w:type="dxa"/>
            <w:tcBorders>
              <w:top w:val="single" w:sz="4" w:space="0" w:color="auto"/>
              <w:bottom w:val="nil"/>
            </w:tcBorders>
            <w:shd w:val="clear" w:color="auto" w:fill="D9D9D9"/>
          </w:tcPr>
          <w:p w:rsidR="00990191" w:rsidRPr="00D1554A" w:rsidRDefault="00990191" w:rsidP="00FA19BD">
            <w:pPr>
              <w:rPr>
                <w:b/>
              </w:rPr>
            </w:pPr>
            <w:r w:rsidRPr="00D1554A">
              <w:rPr>
                <w:b/>
              </w:rPr>
              <w:t>People assisted with skills</w:t>
            </w:r>
          </w:p>
        </w:tc>
      </w:tr>
      <w:tr w:rsidR="00990191" w:rsidTr="00FA19BD">
        <w:tc>
          <w:tcPr>
            <w:tcW w:w="2518" w:type="dxa"/>
            <w:tcBorders>
              <w:top w:val="nil"/>
              <w:bottom w:val="nil"/>
            </w:tcBorders>
            <w:shd w:val="clear" w:color="auto" w:fill="FFCC99"/>
          </w:tcPr>
          <w:p w:rsidR="00990191" w:rsidRPr="00454198" w:rsidRDefault="00990191" w:rsidP="00FA19BD">
            <w:pPr>
              <w:rPr>
                <w:b/>
                <w:sz w:val="32"/>
              </w:rPr>
            </w:pPr>
            <w:r w:rsidRPr="00454198">
              <w:rPr>
                <w:b/>
                <w:sz w:val="32"/>
              </w:rPr>
              <w:t>Project</w:t>
            </w:r>
          </w:p>
        </w:tc>
        <w:tc>
          <w:tcPr>
            <w:tcW w:w="1453" w:type="dxa"/>
            <w:tcBorders>
              <w:top w:val="nil"/>
            </w:tcBorders>
          </w:tcPr>
          <w:p w:rsidR="00990191" w:rsidRDefault="00990191" w:rsidP="00FA19BD">
            <w:r w:rsidRPr="00D1554A">
              <w:rPr>
                <w:b/>
              </w:rPr>
              <w:t xml:space="preserve">Achieved </w:t>
            </w:r>
            <w:r>
              <w:t>(target in brackets)</w:t>
            </w:r>
          </w:p>
        </w:tc>
        <w:tc>
          <w:tcPr>
            <w:tcW w:w="1453" w:type="dxa"/>
            <w:tcBorders>
              <w:top w:val="nil"/>
            </w:tcBorders>
          </w:tcPr>
          <w:p w:rsidR="00990191" w:rsidRDefault="00990191" w:rsidP="00FA19BD">
            <w:r w:rsidRPr="00D1554A">
              <w:rPr>
                <w:b/>
              </w:rPr>
              <w:t xml:space="preserve">Achieved </w:t>
            </w:r>
            <w:r>
              <w:t>(target in brackets)</w:t>
            </w:r>
          </w:p>
        </w:tc>
        <w:tc>
          <w:tcPr>
            <w:tcW w:w="1453" w:type="dxa"/>
            <w:tcBorders>
              <w:top w:val="nil"/>
            </w:tcBorders>
          </w:tcPr>
          <w:p w:rsidR="00990191" w:rsidRDefault="00990191" w:rsidP="00FA19BD">
            <w:r w:rsidRPr="00D1554A">
              <w:rPr>
                <w:b/>
              </w:rPr>
              <w:t xml:space="preserve">Achieved </w:t>
            </w:r>
            <w:r>
              <w:t>(target in brackets)</w:t>
            </w:r>
          </w:p>
        </w:tc>
        <w:tc>
          <w:tcPr>
            <w:tcW w:w="1453" w:type="dxa"/>
            <w:tcBorders>
              <w:top w:val="nil"/>
            </w:tcBorders>
          </w:tcPr>
          <w:p w:rsidR="00990191" w:rsidRDefault="00990191" w:rsidP="00FA19BD">
            <w:r w:rsidRPr="00D1554A">
              <w:rPr>
                <w:b/>
              </w:rPr>
              <w:t xml:space="preserve">Achieved </w:t>
            </w:r>
            <w:r>
              <w:t>(target in brackets)</w:t>
            </w:r>
          </w:p>
        </w:tc>
        <w:tc>
          <w:tcPr>
            <w:tcW w:w="1559" w:type="dxa"/>
            <w:tcBorders>
              <w:top w:val="nil"/>
            </w:tcBorders>
          </w:tcPr>
          <w:p w:rsidR="00990191" w:rsidRDefault="00990191" w:rsidP="00FA19BD">
            <w:r w:rsidRPr="00D1554A">
              <w:rPr>
                <w:b/>
              </w:rPr>
              <w:t xml:space="preserve">Achieved </w:t>
            </w:r>
            <w:r>
              <w:t>(target in brackets)</w:t>
            </w:r>
          </w:p>
        </w:tc>
        <w:tc>
          <w:tcPr>
            <w:tcW w:w="1347" w:type="dxa"/>
            <w:tcBorders>
              <w:top w:val="nil"/>
              <w:bottom w:val="nil"/>
            </w:tcBorders>
          </w:tcPr>
          <w:p w:rsidR="00990191" w:rsidRDefault="00990191" w:rsidP="00FA19BD">
            <w:r w:rsidRPr="00D1554A">
              <w:rPr>
                <w:b/>
              </w:rPr>
              <w:t>Achieved</w:t>
            </w:r>
            <w:r>
              <w:t xml:space="preserve"> (target in brackets)</w:t>
            </w:r>
          </w:p>
        </w:tc>
        <w:tc>
          <w:tcPr>
            <w:tcW w:w="1453" w:type="dxa"/>
            <w:tcBorders>
              <w:top w:val="nil"/>
              <w:bottom w:val="nil"/>
            </w:tcBorders>
          </w:tcPr>
          <w:p w:rsidR="00990191" w:rsidRDefault="00990191" w:rsidP="00FA19BD">
            <w:r w:rsidRPr="00D1554A">
              <w:rPr>
                <w:b/>
              </w:rPr>
              <w:t>Achieved</w:t>
            </w:r>
            <w:r>
              <w:t xml:space="preserve"> (target in brackets)</w:t>
            </w:r>
          </w:p>
        </w:tc>
        <w:tc>
          <w:tcPr>
            <w:tcW w:w="1453" w:type="dxa"/>
            <w:tcBorders>
              <w:top w:val="nil"/>
              <w:bottom w:val="nil"/>
            </w:tcBorders>
          </w:tcPr>
          <w:p w:rsidR="00990191" w:rsidRDefault="00990191" w:rsidP="00FA19BD">
            <w:r w:rsidRPr="00D1554A">
              <w:rPr>
                <w:b/>
              </w:rPr>
              <w:t>Achieved</w:t>
            </w:r>
            <w:r>
              <w:t xml:space="preserve"> (target in brackets)</w:t>
            </w:r>
          </w:p>
        </w:tc>
      </w:tr>
      <w:tr w:rsidR="00990191" w:rsidTr="00FA19BD">
        <w:tc>
          <w:tcPr>
            <w:tcW w:w="2518" w:type="dxa"/>
            <w:tcBorders>
              <w:top w:val="nil"/>
              <w:bottom w:val="nil"/>
            </w:tcBorders>
            <w:shd w:val="clear" w:color="auto" w:fill="FFCC99"/>
          </w:tcPr>
          <w:p w:rsidR="00990191" w:rsidRPr="00454198" w:rsidRDefault="00990191" w:rsidP="00FA19BD">
            <w:pPr>
              <w:rPr>
                <w:b/>
              </w:rPr>
            </w:pPr>
            <w:r w:rsidRPr="00454198">
              <w:rPr>
                <w:b/>
              </w:rPr>
              <w:t>Lancashire Forum</w:t>
            </w:r>
          </w:p>
        </w:tc>
        <w:tc>
          <w:tcPr>
            <w:tcW w:w="1453" w:type="dxa"/>
            <w:vAlign w:val="center"/>
          </w:tcPr>
          <w:p w:rsidR="00990191" w:rsidRDefault="00990191" w:rsidP="00FA19BD">
            <w:pPr>
              <w:jc w:val="right"/>
            </w:pPr>
            <w:r>
              <w:t xml:space="preserve">(120) </w:t>
            </w:r>
            <w:r w:rsidRPr="00454198">
              <w:rPr>
                <w:b/>
              </w:rPr>
              <w:t>93</w:t>
            </w:r>
          </w:p>
        </w:tc>
        <w:tc>
          <w:tcPr>
            <w:tcW w:w="1453" w:type="dxa"/>
            <w:vAlign w:val="center"/>
          </w:tcPr>
          <w:p w:rsidR="00990191" w:rsidRDefault="00990191" w:rsidP="00FA19BD">
            <w:pPr>
              <w:jc w:val="right"/>
            </w:pPr>
            <w:r>
              <w:t xml:space="preserve">(84) </w:t>
            </w:r>
            <w:r w:rsidRPr="00454198">
              <w:rPr>
                <w:b/>
              </w:rPr>
              <w:t>62</w:t>
            </w:r>
          </w:p>
        </w:tc>
        <w:tc>
          <w:tcPr>
            <w:tcW w:w="1453" w:type="dxa"/>
            <w:vAlign w:val="center"/>
          </w:tcPr>
          <w:p w:rsidR="00990191" w:rsidRDefault="00990191" w:rsidP="00FA19BD">
            <w:pPr>
              <w:jc w:val="right"/>
            </w:pPr>
            <w:r>
              <w:t xml:space="preserve">(30) </w:t>
            </w:r>
            <w:r w:rsidRPr="00454198">
              <w:rPr>
                <w:b/>
              </w:rPr>
              <w:t>54.4</w:t>
            </w:r>
          </w:p>
        </w:tc>
        <w:tc>
          <w:tcPr>
            <w:tcW w:w="1453" w:type="dxa"/>
            <w:vAlign w:val="center"/>
          </w:tcPr>
          <w:p w:rsidR="00990191" w:rsidRDefault="00990191" w:rsidP="00FA19BD">
            <w:pPr>
              <w:jc w:val="right"/>
            </w:pPr>
            <w:r>
              <w:t xml:space="preserve">(37) </w:t>
            </w:r>
            <w:r w:rsidRPr="00454198">
              <w:rPr>
                <w:b/>
              </w:rPr>
              <w:t>42</w:t>
            </w:r>
          </w:p>
        </w:tc>
        <w:tc>
          <w:tcPr>
            <w:tcW w:w="1559" w:type="dxa"/>
            <w:vAlign w:val="center"/>
          </w:tcPr>
          <w:p w:rsidR="00990191" w:rsidRPr="00D1554A" w:rsidRDefault="00990191" w:rsidP="00FA19BD">
            <w:pPr>
              <w:jc w:val="center"/>
            </w:pPr>
            <w:r w:rsidRPr="00D1554A">
              <w:t>(£1,000,000)</w:t>
            </w:r>
          </w:p>
          <w:p w:rsidR="00990191" w:rsidRPr="00454198" w:rsidRDefault="00990191" w:rsidP="00FA19BD">
            <w:pPr>
              <w:jc w:val="center"/>
              <w:rPr>
                <w:b/>
              </w:rPr>
            </w:pPr>
            <w:r w:rsidRPr="00454198">
              <w:rPr>
                <w:b/>
              </w:rPr>
              <w:t>£1,974,000</w:t>
            </w:r>
          </w:p>
        </w:tc>
        <w:tc>
          <w:tcPr>
            <w:tcW w:w="1347" w:type="dxa"/>
            <w:tcBorders>
              <w:top w:val="nil"/>
              <w:bottom w:val="nil"/>
            </w:tcBorders>
            <w:shd w:val="clear" w:color="auto" w:fill="E0E0E0"/>
          </w:tcPr>
          <w:p w:rsidR="00990191" w:rsidRDefault="00990191" w:rsidP="00FA19BD"/>
        </w:tc>
        <w:tc>
          <w:tcPr>
            <w:tcW w:w="1453" w:type="dxa"/>
            <w:tcBorders>
              <w:top w:val="nil"/>
              <w:bottom w:val="nil"/>
            </w:tcBorders>
            <w:shd w:val="clear" w:color="auto" w:fill="E0E0E0"/>
          </w:tcPr>
          <w:p w:rsidR="00990191" w:rsidRDefault="00990191" w:rsidP="00FA19BD"/>
        </w:tc>
        <w:tc>
          <w:tcPr>
            <w:tcW w:w="1453" w:type="dxa"/>
            <w:tcBorders>
              <w:top w:val="nil"/>
              <w:bottom w:val="nil"/>
            </w:tcBorders>
            <w:shd w:val="clear" w:color="auto" w:fill="E0E0E0"/>
          </w:tcPr>
          <w:p w:rsidR="00990191" w:rsidRDefault="00990191" w:rsidP="00FA19BD"/>
        </w:tc>
      </w:tr>
      <w:tr w:rsidR="00990191" w:rsidTr="00FA19BD">
        <w:tc>
          <w:tcPr>
            <w:tcW w:w="2518" w:type="dxa"/>
            <w:tcBorders>
              <w:top w:val="nil"/>
              <w:bottom w:val="nil"/>
            </w:tcBorders>
            <w:shd w:val="clear" w:color="auto" w:fill="FFCC99"/>
          </w:tcPr>
          <w:p w:rsidR="00990191" w:rsidRPr="00454198" w:rsidRDefault="00990191" w:rsidP="00FA19BD">
            <w:pPr>
              <w:rPr>
                <w:b/>
              </w:rPr>
            </w:pPr>
            <w:r w:rsidRPr="00454198">
              <w:rPr>
                <w:b/>
              </w:rPr>
              <w:t>Innovation Clinic</w:t>
            </w:r>
          </w:p>
        </w:tc>
        <w:tc>
          <w:tcPr>
            <w:tcW w:w="1453" w:type="dxa"/>
            <w:vAlign w:val="center"/>
          </w:tcPr>
          <w:p w:rsidR="00990191" w:rsidRDefault="00990191" w:rsidP="00FA19BD">
            <w:pPr>
              <w:jc w:val="right"/>
            </w:pPr>
            <w:r>
              <w:t xml:space="preserve">(65) </w:t>
            </w:r>
            <w:r w:rsidRPr="00454198">
              <w:rPr>
                <w:b/>
              </w:rPr>
              <w:t>65</w:t>
            </w:r>
          </w:p>
        </w:tc>
        <w:tc>
          <w:tcPr>
            <w:tcW w:w="1453" w:type="dxa"/>
            <w:vAlign w:val="center"/>
          </w:tcPr>
          <w:p w:rsidR="00990191" w:rsidRDefault="00990191" w:rsidP="00FA19BD">
            <w:pPr>
              <w:jc w:val="right"/>
            </w:pPr>
            <w:r>
              <w:t>(44)</w:t>
            </w:r>
            <w:r w:rsidRPr="00454198">
              <w:rPr>
                <w:b/>
              </w:rPr>
              <w:t xml:space="preserve"> 43</w:t>
            </w:r>
          </w:p>
        </w:tc>
        <w:tc>
          <w:tcPr>
            <w:tcW w:w="1453" w:type="dxa"/>
            <w:vAlign w:val="center"/>
          </w:tcPr>
          <w:p w:rsidR="00990191" w:rsidRDefault="00990191" w:rsidP="00FA19BD">
            <w:pPr>
              <w:jc w:val="right"/>
            </w:pPr>
            <w:r>
              <w:t xml:space="preserve">(48) </w:t>
            </w:r>
            <w:r w:rsidRPr="00454198">
              <w:rPr>
                <w:b/>
              </w:rPr>
              <w:t>28.2</w:t>
            </w:r>
          </w:p>
        </w:tc>
        <w:tc>
          <w:tcPr>
            <w:tcW w:w="1453" w:type="dxa"/>
            <w:vAlign w:val="center"/>
          </w:tcPr>
          <w:p w:rsidR="00990191" w:rsidRDefault="00990191" w:rsidP="00FA19BD">
            <w:pPr>
              <w:jc w:val="right"/>
            </w:pPr>
            <w:r>
              <w:t xml:space="preserve">(9) </w:t>
            </w:r>
            <w:r w:rsidRPr="00454198">
              <w:rPr>
                <w:b/>
              </w:rPr>
              <w:t>7.3</w:t>
            </w:r>
          </w:p>
        </w:tc>
        <w:tc>
          <w:tcPr>
            <w:tcW w:w="1559" w:type="dxa"/>
            <w:vAlign w:val="center"/>
          </w:tcPr>
          <w:p w:rsidR="00990191" w:rsidRPr="00D1554A" w:rsidRDefault="00990191" w:rsidP="00FA19BD">
            <w:pPr>
              <w:jc w:val="center"/>
            </w:pPr>
            <w:r w:rsidRPr="00D1554A">
              <w:t>(£600,000)</w:t>
            </w:r>
          </w:p>
          <w:p w:rsidR="00990191" w:rsidRPr="00454198" w:rsidRDefault="00990191" w:rsidP="00FA19BD">
            <w:pPr>
              <w:jc w:val="center"/>
              <w:rPr>
                <w:b/>
              </w:rPr>
            </w:pPr>
            <w:r w:rsidRPr="00454198">
              <w:rPr>
                <w:b/>
              </w:rPr>
              <w:t>£1,027,000</w:t>
            </w:r>
          </w:p>
        </w:tc>
        <w:tc>
          <w:tcPr>
            <w:tcW w:w="1347" w:type="dxa"/>
            <w:tcBorders>
              <w:top w:val="nil"/>
              <w:bottom w:val="nil"/>
            </w:tcBorders>
            <w:shd w:val="clear" w:color="auto" w:fill="E0E0E0"/>
          </w:tcPr>
          <w:p w:rsidR="00990191" w:rsidRDefault="00990191" w:rsidP="00FA19BD"/>
        </w:tc>
        <w:tc>
          <w:tcPr>
            <w:tcW w:w="1453" w:type="dxa"/>
            <w:tcBorders>
              <w:top w:val="nil"/>
              <w:bottom w:val="nil"/>
            </w:tcBorders>
            <w:shd w:val="clear" w:color="auto" w:fill="E0E0E0"/>
          </w:tcPr>
          <w:p w:rsidR="00990191" w:rsidRDefault="00990191" w:rsidP="00FA19BD"/>
        </w:tc>
        <w:tc>
          <w:tcPr>
            <w:tcW w:w="1453" w:type="dxa"/>
            <w:tcBorders>
              <w:top w:val="nil"/>
              <w:bottom w:val="nil"/>
            </w:tcBorders>
            <w:shd w:val="clear" w:color="auto" w:fill="E0E0E0"/>
          </w:tcPr>
          <w:p w:rsidR="00990191" w:rsidRDefault="00990191" w:rsidP="00FA19BD"/>
        </w:tc>
      </w:tr>
      <w:tr w:rsidR="00990191" w:rsidTr="00FA19BD">
        <w:tc>
          <w:tcPr>
            <w:tcW w:w="2518" w:type="dxa"/>
            <w:tcBorders>
              <w:top w:val="nil"/>
              <w:bottom w:val="nil"/>
            </w:tcBorders>
            <w:shd w:val="clear" w:color="auto" w:fill="FFCC99"/>
          </w:tcPr>
          <w:p w:rsidR="00990191" w:rsidRPr="00454198" w:rsidRDefault="00990191" w:rsidP="00FA19BD">
            <w:pPr>
              <w:rPr>
                <w:b/>
              </w:rPr>
            </w:pPr>
            <w:r w:rsidRPr="00454198">
              <w:rPr>
                <w:b/>
              </w:rPr>
              <w:t>GA ERDF</w:t>
            </w:r>
          </w:p>
        </w:tc>
        <w:tc>
          <w:tcPr>
            <w:tcW w:w="1453" w:type="dxa"/>
            <w:vAlign w:val="center"/>
          </w:tcPr>
          <w:p w:rsidR="00990191" w:rsidRDefault="00990191" w:rsidP="00FA19BD">
            <w:pPr>
              <w:jc w:val="right"/>
            </w:pPr>
            <w:r>
              <w:t xml:space="preserve">(100) </w:t>
            </w:r>
            <w:r w:rsidRPr="00454198">
              <w:rPr>
                <w:b/>
              </w:rPr>
              <w:t>99</w:t>
            </w:r>
          </w:p>
        </w:tc>
        <w:tc>
          <w:tcPr>
            <w:tcW w:w="1453" w:type="dxa"/>
            <w:vAlign w:val="center"/>
          </w:tcPr>
          <w:p w:rsidR="00990191" w:rsidRDefault="00990191" w:rsidP="00FA19BD">
            <w:pPr>
              <w:jc w:val="right"/>
            </w:pPr>
            <w:r>
              <w:t xml:space="preserve">(89) </w:t>
            </w:r>
            <w:r w:rsidRPr="00454198">
              <w:rPr>
                <w:b/>
              </w:rPr>
              <w:t>9</w:t>
            </w:r>
            <w:r>
              <w:rPr>
                <w:b/>
              </w:rPr>
              <w:t>7</w:t>
            </w:r>
          </w:p>
        </w:tc>
        <w:tc>
          <w:tcPr>
            <w:tcW w:w="1453" w:type="dxa"/>
            <w:vAlign w:val="center"/>
          </w:tcPr>
          <w:p w:rsidR="00990191" w:rsidRDefault="00990191" w:rsidP="00FA19BD">
            <w:pPr>
              <w:jc w:val="right"/>
            </w:pPr>
            <w:r>
              <w:t xml:space="preserve">(198) </w:t>
            </w:r>
            <w:r w:rsidRPr="00454198">
              <w:rPr>
                <w:b/>
              </w:rPr>
              <w:t>20</w:t>
            </w:r>
            <w:r>
              <w:rPr>
                <w:b/>
              </w:rPr>
              <w:t>3</w:t>
            </w:r>
          </w:p>
        </w:tc>
        <w:tc>
          <w:tcPr>
            <w:tcW w:w="1453" w:type="dxa"/>
            <w:vAlign w:val="center"/>
          </w:tcPr>
          <w:p w:rsidR="00990191" w:rsidRDefault="00990191" w:rsidP="00FA19BD">
            <w:pPr>
              <w:jc w:val="right"/>
            </w:pPr>
            <w:r>
              <w:t xml:space="preserve">(198) </w:t>
            </w:r>
            <w:r w:rsidRPr="00454198">
              <w:rPr>
                <w:b/>
              </w:rPr>
              <w:t>14.5</w:t>
            </w:r>
          </w:p>
        </w:tc>
        <w:tc>
          <w:tcPr>
            <w:tcW w:w="1559" w:type="dxa"/>
            <w:vAlign w:val="center"/>
          </w:tcPr>
          <w:p w:rsidR="00990191" w:rsidRPr="00454198" w:rsidRDefault="00990191" w:rsidP="00FA19BD">
            <w:pPr>
              <w:jc w:val="center"/>
              <w:rPr>
                <w:sz w:val="20"/>
              </w:rPr>
            </w:pPr>
            <w:r w:rsidRPr="00454198">
              <w:rPr>
                <w:sz w:val="20"/>
              </w:rPr>
              <w:t>(£13,000,000)</w:t>
            </w:r>
          </w:p>
          <w:p w:rsidR="00990191" w:rsidRPr="00454198" w:rsidRDefault="00990191" w:rsidP="00FA19BD">
            <w:pPr>
              <w:jc w:val="center"/>
              <w:rPr>
                <w:b/>
              </w:rPr>
            </w:pPr>
            <w:r>
              <w:rPr>
                <w:b/>
              </w:rPr>
              <w:t>£20,659</w:t>
            </w:r>
            <w:r w:rsidRPr="00454198">
              <w:rPr>
                <w:b/>
              </w:rPr>
              <w:t>,000</w:t>
            </w:r>
          </w:p>
        </w:tc>
        <w:tc>
          <w:tcPr>
            <w:tcW w:w="1347" w:type="dxa"/>
            <w:tcBorders>
              <w:top w:val="nil"/>
              <w:bottom w:val="nil"/>
            </w:tcBorders>
            <w:shd w:val="clear" w:color="auto" w:fill="E0E0E0"/>
          </w:tcPr>
          <w:p w:rsidR="00990191" w:rsidRDefault="00990191" w:rsidP="00FA19BD"/>
        </w:tc>
        <w:tc>
          <w:tcPr>
            <w:tcW w:w="1453" w:type="dxa"/>
            <w:tcBorders>
              <w:top w:val="nil"/>
              <w:bottom w:val="nil"/>
            </w:tcBorders>
            <w:shd w:val="clear" w:color="auto" w:fill="E0E0E0"/>
          </w:tcPr>
          <w:p w:rsidR="00990191" w:rsidRDefault="00990191" w:rsidP="00FA19BD"/>
        </w:tc>
        <w:tc>
          <w:tcPr>
            <w:tcW w:w="1453" w:type="dxa"/>
            <w:tcBorders>
              <w:top w:val="nil"/>
              <w:bottom w:val="nil"/>
            </w:tcBorders>
            <w:shd w:val="clear" w:color="auto" w:fill="E0E0E0"/>
          </w:tcPr>
          <w:p w:rsidR="00990191" w:rsidRDefault="00990191" w:rsidP="00FA19BD"/>
        </w:tc>
      </w:tr>
      <w:tr w:rsidR="00990191" w:rsidTr="00FA19BD">
        <w:tc>
          <w:tcPr>
            <w:tcW w:w="2518" w:type="dxa"/>
            <w:tcBorders>
              <w:top w:val="nil"/>
              <w:bottom w:val="nil"/>
            </w:tcBorders>
            <w:shd w:val="clear" w:color="auto" w:fill="FFCC99"/>
          </w:tcPr>
          <w:p w:rsidR="00990191" w:rsidRPr="00454198" w:rsidRDefault="00990191" w:rsidP="00FA19BD">
            <w:pPr>
              <w:rPr>
                <w:b/>
              </w:rPr>
            </w:pPr>
            <w:r w:rsidRPr="00454198">
              <w:rPr>
                <w:b/>
              </w:rPr>
              <w:t>Sector Specific Skills</w:t>
            </w:r>
          </w:p>
        </w:tc>
        <w:tc>
          <w:tcPr>
            <w:tcW w:w="1453" w:type="dxa"/>
            <w:vAlign w:val="center"/>
          </w:tcPr>
          <w:p w:rsidR="00990191" w:rsidRDefault="00990191" w:rsidP="00FA19BD">
            <w:pPr>
              <w:jc w:val="right"/>
            </w:pPr>
            <w:r>
              <w:t xml:space="preserve">(15) </w:t>
            </w:r>
            <w:r w:rsidRPr="00454198">
              <w:rPr>
                <w:b/>
              </w:rPr>
              <w:t>13</w:t>
            </w:r>
          </w:p>
        </w:tc>
        <w:tc>
          <w:tcPr>
            <w:tcW w:w="1453" w:type="dxa"/>
            <w:vAlign w:val="center"/>
          </w:tcPr>
          <w:p w:rsidR="00990191" w:rsidRDefault="00990191" w:rsidP="00FA19BD">
            <w:pPr>
              <w:jc w:val="right"/>
            </w:pPr>
            <w:r>
              <w:t>(36)</w:t>
            </w:r>
            <w:r w:rsidRPr="00454198">
              <w:rPr>
                <w:b/>
              </w:rPr>
              <w:t xml:space="preserve"> 0</w:t>
            </w:r>
          </w:p>
        </w:tc>
        <w:tc>
          <w:tcPr>
            <w:tcW w:w="1453" w:type="dxa"/>
            <w:vAlign w:val="center"/>
          </w:tcPr>
          <w:p w:rsidR="00990191" w:rsidRDefault="00990191" w:rsidP="00FA19BD">
            <w:pPr>
              <w:jc w:val="right"/>
            </w:pPr>
            <w:r>
              <w:t xml:space="preserve">(6) </w:t>
            </w:r>
            <w:r w:rsidRPr="00454198">
              <w:rPr>
                <w:b/>
              </w:rPr>
              <w:t>27.5</w:t>
            </w:r>
          </w:p>
        </w:tc>
        <w:tc>
          <w:tcPr>
            <w:tcW w:w="1453" w:type="dxa"/>
            <w:vAlign w:val="center"/>
          </w:tcPr>
          <w:p w:rsidR="00990191" w:rsidRDefault="00990191" w:rsidP="00FA19BD">
            <w:pPr>
              <w:jc w:val="right"/>
            </w:pPr>
            <w:r>
              <w:t xml:space="preserve">(22) </w:t>
            </w:r>
            <w:r w:rsidRPr="00454198">
              <w:rPr>
                <w:b/>
              </w:rPr>
              <w:t>0</w:t>
            </w:r>
          </w:p>
        </w:tc>
        <w:tc>
          <w:tcPr>
            <w:tcW w:w="1559" w:type="dxa"/>
            <w:vAlign w:val="center"/>
          </w:tcPr>
          <w:p w:rsidR="00990191" w:rsidRPr="00D1554A" w:rsidRDefault="00990191" w:rsidP="00FA19BD">
            <w:pPr>
              <w:jc w:val="center"/>
            </w:pPr>
            <w:r w:rsidRPr="00D1554A">
              <w:t>(£600,000)</w:t>
            </w:r>
          </w:p>
          <w:p w:rsidR="00990191" w:rsidRPr="00454198" w:rsidRDefault="00990191" w:rsidP="00FA19BD">
            <w:pPr>
              <w:jc w:val="center"/>
              <w:rPr>
                <w:b/>
              </w:rPr>
            </w:pPr>
            <w:r w:rsidRPr="00454198">
              <w:rPr>
                <w:b/>
              </w:rPr>
              <w:t>£2,559,000</w:t>
            </w:r>
          </w:p>
        </w:tc>
        <w:tc>
          <w:tcPr>
            <w:tcW w:w="1347" w:type="dxa"/>
            <w:tcBorders>
              <w:top w:val="nil"/>
              <w:bottom w:val="nil"/>
            </w:tcBorders>
            <w:shd w:val="clear" w:color="auto" w:fill="E0E0E0"/>
          </w:tcPr>
          <w:p w:rsidR="00990191" w:rsidRDefault="00990191" w:rsidP="00FA19BD"/>
        </w:tc>
        <w:tc>
          <w:tcPr>
            <w:tcW w:w="1453" w:type="dxa"/>
            <w:tcBorders>
              <w:top w:val="nil"/>
              <w:bottom w:val="nil"/>
            </w:tcBorders>
            <w:shd w:val="clear" w:color="auto" w:fill="E0E0E0"/>
          </w:tcPr>
          <w:p w:rsidR="00990191" w:rsidRDefault="00990191" w:rsidP="00FA19BD"/>
        </w:tc>
        <w:tc>
          <w:tcPr>
            <w:tcW w:w="1453" w:type="dxa"/>
            <w:tcBorders>
              <w:top w:val="nil"/>
              <w:bottom w:val="nil"/>
            </w:tcBorders>
            <w:shd w:val="clear" w:color="auto" w:fill="E0E0E0"/>
          </w:tcPr>
          <w:p w:rsidR="00990191" w:rsidRDefault="00990191" w:rsidP="00FA19BD"/>
        </w:tc>
      </w:tr>
      <w:tr w:rsidR="00990191" w:rsidTr="00FA19BD">
        <w:tc>
          <w:tcPr>
            <w:tcW w:w="2518" w:type="dxa"/>
            <w:tcBorders>
              <w:top w:val="nil"/>
              <w:bottom w:val="nil"/>
            </w:tcBorders>
            <w:shd w:val="clear" w:color="auto" w:fill="FFCC99"/>
          </w:tcPr>
          <w:p w:rsidR="00990191" w:rsidRPr="00454198" w:rsidRDefault="00990191" w:rsidP="00FA19BD">
            <w:pPr>
              <w:rPr>
                <w:b/>
              </w:rPr>
            </w:pPr>
            <w:r w:rsidRPr="00454198">
              <w:rPr>
                <w:b/>
              </w:rPr>
              <w:t>Growth Sector Support</w:t>
            </w:r>
          </w:p>
        </w:tc>
        <w:tc>
          <w:tcPr>
            <w:tcW w:w="1453" w:type="dxa"/>
            <w:vAlign w:val="center"/>
          </w:tcPr>
          <w:p w:rsidR="00990191" w:rsidRDefault="00990191" w:rsidP="00FA19BD">
            <w:pPr>
              <w:jc w:val="right"/>
            </w:pPr>
            <w:r>
              <w:t xml:space="preserve">(270) </w:t>
            </w:r>
            <w:r w:rsidRPr="00454198">
              <w:rPr>
                <w:b/>
              </w:rPr>
              <w:t>272</w:t>
            </w:r>
          </w:p>
        </w:tc>
        <w:tc>
          <w:tcPr>
            <w:tcW w:w="1453" w:type="dxa"/>
            <w:vAlign w:val="center"/>
          </w:tcPr>
          <w:p w:rsidR="00990191" w:rsidRDefault="00990191" w:rsidP="00FA19BD">
            <w:pPr>
              <w:jc w:val="right"/>
            </w:pPr>
            <w:r>
              <w:t xml:space="preserve">(137) </w:t>
            </w:r>
            <w:r w:rsidRPr="00454198">
              <w:rPr>
                <w:b/>
              </w:rPr>
              <w:t>152</w:t>
            </w:r>
          </w:p>
        </w:tc>
        <w:tc>
          <w:tcPr>
            <w:tcW w:w="1453" w:type="dxa"/>
            <w:vAlign w:val="center"/>
          </w:tcPr>
          <w:p w:rsidR="00990191" w:rsidRDefault="00990191" w:rsidP="00FA19BD">
            <w:pPr>
              <w:jc w:val="right"/>
            </w:pPr>
            <w:r>
              <w:t xml:space="preserve">(76) </w:t>
            </w:r>
            <w:r w:rsidRPr="00454198">
              <w:rPr>
                <w:b/>
              </w:rPr>
              <w:t>328</w:t>
            </w:r>
          </w:p>
        </w:tc>
        <w:tc>
          <w:tcPr>
            <w:tcW w:w="1453" w:type="dxa"/>
            <w:vAlign w:val="center"/>
          </w:tcPr>
          <w:p w:rsidR="00990191" w:rsidRDefault="00990191" w:rsidP="00FA19BD">
            <w:pPr>
              <w:jc w:val="right"/>
            </w:pPr>
            <w:r>
              <w:t xml:space="preserve">(175) </w:t>
            </w:r>
            <w:r w:rsidRPr="00454198">
              <w:rPr>
                <w:b/>
              </w:rPr>
              <w:t>212</w:t>
            </w:r>
          </w:p>
        </w:tc>
        <w:tc>
          <w:tcPr>
            <w:tcW w:w="1559" w:type="dxa"/>
            <w:vAlign w:val="center"/>
          </w:tcPr>
          <w:p w:rsidR="00990191" w:rsidRPr="00D1554A" w:rsidRDefault="00990191" w:rsidP="00FA19BD">
            <w:pPr>
              <w:jc w:val="center"/>
            </w:pPr>
            <w:r w:rsidRPr="00D1554A">
              <w:t>(£1,500,000)</w:t>
            </w:r>
          </w:p>
          <w:p w:rsidR="00990191" w:rsidRPr="00454198" w:rsidRDefault="00990191" w:rsidP="00FA19BD">
            <w:pPr>
              <w:jc w:val="center"/>
              <w:rPr>
                <w:b/>
              </w:rPr>
            </w:pPr>
            <w:r w:rsidRPr="00454198">
              <w:rPr>
                <w:b/>
              </w:rPr>
              <w:t>£1,637,000</w:t>
            </w:r>
          </w:p>
        </w:tc>
        <w:tc>
          <w:tcPr>
            <w:tcW w:w="1347" w:type="dxa"/>
            <w:tcBorders>
              <w:top w:val="nil"/>
              <w:bottom w:val="nil"/>
            </w:tcBorders>
            <w:shd w:val="clear" w:color="auto" w:fill="E0E0E0"/>
          </w:tcPr>
          <w:p w:rsidR="00990191" w:rsidRDefault="00990191" w:rsidP="00FA19BD"/>
        </w:tc>
        <w:tc>
          <w:tcPr>
            <w:tcW w:w="1453" w:type="dxa"/>
            <w:tcBorders>
              <w:top w:val="nil"/>
              <w:bottom w:val="nil"/>
            </w:tcBorders>
            <w:shd w:val="clear" w:color="auto" w:fill="E0E0E0"/>
          </w:tcPr>
          <w:p w:rsidR="00990191" w:rsidRDefault="00990191" w:rsidP="00FA19BD"/>
        </w:tc>
        <w:tc>
          <w:tcPr>
            <w:tcW w:w="1453" w:type="dxa"/>
            <w:tcBorders>
              <w:top w:val="nil"/>
              <w:bottom w:val="nil"/>
            </w:tcBorders>
            <w:shd w:val="clear" w:color="auto" w:fill="E0E0E0"/>
          </w:tcPr>
          <w:p w:rsidR="00990191" w:rsidRDefault="00990191" w:rsidP="00FA19BD"/>
        </w:tc>
      </w:tr>
      <w:tr w:rsidR="00990191" w:rsidTr="00FA19BD">
        <w:tc>
          <w:tcPr>
            <w:tcW w:w="2518" w:type="dxa"/>
            <w:tcBorders>
              <w:top w:val="nil"/>
              <w:bottom w:val="nil"/>
            </w:tcBorders>
            <w:shd w:val="clear" w:color="auto" w:fill="FFCC99"/>
          </w:tcPr>
          <w:p w:rsidR="00990191" w:rsidRPr="00454198" w:rsidRDefault="00990191" w:rsidP="00FA19BD">
            <w:pPr>
              <w:rPr>
                <w:b/>
              </w:rPr>
            </w:pPr>
            <w:r w:rsidRPr="00454198">
              <w:rPr>
                <w:b/>
              </w:rPr>
              <w:t>Lancashire LEAP</w:t>
            </w:r>
          </w:p>
        </w:tc>
        <w:tc>
          <w:tcPr>
            <w:tcW w:w="1453" w:type="dxa"/>
            <w:vAlign w:val="center"/>
          </w:tcPr>
          <w:p w:rsidR="00990191" w:rsidRDefault="00990191" w:rsidP="00FA19BD">
            <w:pPr>
              <w:jc w:val="right"/>
            </w:pPr>
            <w:r>
              <w:t xml:space="preserve">(300) </w:t>
            </w:r>
            <w:r w:rsidRPr="00454198">
              <w:rPr>
                <w:b/>
              </w:rPr>
              <w:t>261</w:t>
            </w:r>
          </w:p>
        </w:tc>
        <w:tc>
          <w:tcPr>
            <w:tcW w:w="1453" w:type="dxa"/>
            <w:vAlign w:val="center"/>
          </w:tcPr>
          <w:p w:rsidR="00990191" w:rsidRDefault="00990191" w:rsidP="00FA19BD">
            <w:pPr>
              <w:jc w:val="right"/>
            </w:pPr>
            <w:r>
              <w:t xml:space="preserve">(115) </w:t>
            </w:r>
            <w:r>
              <w:rPr>
                <w:b/>
              </w:rPr>
              <w:t>249</w:t>
            </w:r>
          </w:p>
        </w:tc>
        <w:tc>
          <w:tcPr>
            <w:tcW w:w="1453" w:type="dxa"/>
            <w:vAlign w:val="center"/>
          </w:tcPr>
          <w:p w:rsidR="00990191" w:rsidRDefault="00990191" w:rsidP="00FA19BD">
            <w:pPr>
              <w:jc w:val="right"/>
            </w:pPr>
            <w:r>
              <w:t xml:space="preserve">(760) </w:t>
            </w:r>
            <w:r>
              <w:rPr>
                <w:b/>
              </w:rPr>
              <w:t>159</w:t>
            </w:r>
          </w:p>
        </w:tc>
        <w:tc>
          <w:tcPr>
            <w:tcW w:w="1453" w:type="dxa"/>
            <w:vAlign w:val="center"/>
          </w:tcPr>
          <w:p w:rsidR="00990191" w:rsidRDefault="00990191" w:rsidP="00FA19BD">
            <w:pPr>
              <w:jc w:val="right"/>
            </w:pPr>
          </w:p>
        </w:tc>
        <w:tc>
          <w:tcPr>
            <w:tcW w:w="1559" w:type="dxa"/>
            <w:vAlign w:val="center"/>
          </w:tcPr>
          <w:p w:rsidR="00990191" w:rsidRPr="00D1554A" w:rsidRDefault="00990191" w:rsidP="00FA19BD">
            <w:pPr>
              <w:jc w:val="center"/>
            </w:pPr>
            <w:r w:rsidRPr="00D1554A">
              <w:t>(£800,000)</w:t>
            </w:r>
          </w:p>
          <w:p w:rsidR="00990191" w:rsidRPr="00454198" w:rsidRDefault="00990191" w:rsidP="00FA19BD">
            <w:pPr>
              <w:jc w:val="center"/>
              <w:rPr>
                <w:b/>
              </w:rPr>
            </w:pPr>
            <w:r>
              <w:rPr>
                <w:b/>
              </w:rPr>
              <w:t>£6,348</w:t>
            </w:r>
            <w:r w:rsidRPr="00454198">
              <w:rPr>
                <w:b/>
              </w:rPr>
              <w:t>,000</w:t>
            </w:r>
          </w:p>
        </w:tc>
        <w:tc>
          <w:tcPr>
            <w:tcW w:w="1347" w:type="dxa"/>
            <w:tcBorders>
              <w:top w:val="nil"/>
              <w:bottom w:val="nil"/>
            </w:tcBorders>
          </w:tcPr>
          <w:p w:rsidR="00990191" w:rsidRDefault="00990191" w:rsidP="00FA19BD">
            <w:r>
              <w:t xml:space="preserve">(260) </w:t>
            </w:r>
            <w:r w:rsidRPr="00454198">
              <w:rPr>
                <w:b/>
              </w:rPr>
              <w:t>286</w:t>
            </w:r>
          </w:p>
        </w:tc>
        <w:tc>
          <w:tcPr>
            <w:tcW w:w="1453" w:type="dxa"/>
            <w:tcBorders>
              <w:top w:val="nil"/>
              <w:bottom w:val="nil"/>
            </w:tcBorders>
          </w:tcPr>
          <w:p w:rsidR="00990191" w:rsidRDefault="00990191" w:rsidP="00FA19BD">
            <w:r>
              <w:t xml:space="preserve">(180) </w:t>
            </w:r>
            <w:r>
              <w:rPr>
                <w:b/>
              </w:rPr>
              <w:t>104</w:t>
            </w:r>
          </w:p>
        </w:tc>
        <w:tc>
          <w:tcPr>
            <w:tcW w:w="1453" w:type="dxa"/>
            <w:tcBorders>
              <w:top w:val="nil"/>
            </w:tcBorders>
          </w:tcPr>
          <w:p w:rsidR="00990191" w:rsidRDefault="00990191" w:rsidP="00FA19BD">
            <w:r>
              <w:t xml:space="preserve">(114) </w:t>
            </w:r>
            <w:r w:rsidRPr="00454198">
              <w:rPr>
                <w:b/>
              </w:rPr>
              <w:t>114</w:t>
            </w:r>
          </w:p>
        </w:tc>
      </w:tr>
      <w:tr w:rsidR="00990191" w:rsidTr="00FA19BD">
        <w:tc>
          <w:tcPr>
            <w:tcW w:w="2518" w:type="dxa"/>
            <w:tcBorders>
              <w:top w:val="nil"/>
              <w:bottom w:val="single" w:sz="4" w:space="0" w:color="auto"/>
            </w:tcBorders>
            <w:shd w:val="clear" w:color="auto" w:fill="FFCC99"/>
          </w:tcPr>
          <w:p w:rsidR="00990191" w:rsidRPr="00454198" w:rsidRDefault="00990191" w:rsidP="00FA19BD">
            <w:pPr>
              <w:rPr>
                <w:b/>
              </w:rPr>
            </w:pPr>
            <w:r w:rsidRPr="00454198">
              <w:rPr>
                <w:b/>
              </w:rPr>
              <w:t>Growth Mentoring</w:t>
            </w:r>
          </w:p>
        </w:tc>
        <w:tc>
          <w:tcPr>
            <w:tcW w:w="1453" w:type="dxa"/>
            <w:tcBorders>
              <w:bottom w:val="single" w:sz="4" w:space="0" w:color="auto"/>
            </w:tcBorders>
            <w:vAlign w:val="center"/>
          </w:tcPr>
          <w:p w:rsidR="00990191" w:rsidRDefault="00990191" w:rsidP="00FA19BD">
            <w:pPr>
              <w:jc w:val="right"/>
            </w:pPr>
            <w:r>
              <w:t xml:space="preserve">(531) </w:t>
            </w:r>
            <w:r w:rsidRPr="00454198">
              <w:rPr>
                <w:b/>
              </w:rPr>
              <w:t>536</w:t>
            </w:r>
          </w:p>
        </w:tc>
        <w:tc>
          <w:tcPr>
            <w:tcW w:w="1453" w:type="dxa"/>
            <w:tcBorders>
              <w:bottom w:val="single" w:sz="4" w:space="0" w:color="auto"/>
            </w:tcBorders>
            <w:vAlign w:val="center"/>
          </w:tcPr>
          <w:p w:rsidR="00990191" w:rsidRDefault="00990191" w:rsidP="00FA19BD">
            <w:pPr>
              <w:jc w:val="right"/>
            </w:pPr>
            <w:r>
              <w:t xml:space="preserve">(290) </w:t>
            </w:r>
            <w:r w:rsidRPr="00454198">
              <w:rPr>
                <w:b/>
              </w:rPr>
              <w:t>30</w:t>
            </w:r>
            <w:r>
              <w:rPr>
                <w:b/>
              </w:rPr>
              <w:t>6</w:t>
            </w:r>
          </w:p>
        </w:tc>
        <w:tc>
          <w:tcPr>
            <w:tcW w:w="1453" w:type="dxa"/>
            <w:tcBorders>
              <w:bottom w:val="single" w:sz="4" w:space="0" w:color="auto"/>
            </w:tcBorders>
            <w:vAlign w:val="center"/>
          </w:tcPr>
          <w:p w:rsidR="00990191" w:rsidRDefault="00990191" w:rsidP="00FA19BD">
            <w:pPr>
              <w:jc w:val="right"/>
            </w:pPr>
            <w:r>
              <w:t xml:space="preserve">(350) </w:t>
            </w:r>
            <w:r w:rsidRPr="00454198">
              <w:rPr>
                <w:b/>
              </w:rPr>
              <w:t>36</w:t>
            </w:r>
            <w:r>
              <w:rPr>
                <w:b/>
              </w:rPr>
              <w:t>6</w:t>
            </w:r>
          </w:p>
        </w:tc>
        <w:tc>
          <w:tcPr>
            <w:tcW w:w="1453" w:type="dxa"/>
            <w:tcBorders>
              <w:bottom w:val="single" w:sz="4" w:space="0" w:color="auto"/>
            </w:tcBorders>
            <w:vAlign w:val="center"/>
          </w:tcPr>
          <w:p w:rsidR="00990191" w:rsidRDefault="00990191" w:rsidP="00FA19BD">
            <w:pPr>
              <w:jc w:val="right"/>
            </w:pPr>
            <w:r>
              <w:t xml:space="preserve">(20) </w:t>
            </w:r>
            <w:r w:rsidRPr="00454198">
              <w:rPr>
                <w:b/>
              </w:rPr>
              <w:t>18.5</w:t>
            </w:r>
          </w:p>
        </w:tc>
        <w:tc>
          <w:tcPr>
            <w:tcW w:w="1559" w:type="dxa"/>
            <w:tcBorders>
              <w:bottom w:val="single" w:sz="4" w:space="0" w:color="auto"/>
            </w:tcBorders>
            <w:vAlign w:val="center"/>
          </w:tcPr>
          <w:p w:rsidR="00990191" w:rsidRPr="00D1554A" w:rsidRDefault="00990191" w:rsidP="00FA19BD">
            <w:pPr>
              <w:jc w:val="center"/>
            </w:pPr>
            <w:r w:rsidRPr="00D1554A">
              <w:t>(£600,000)</w:t>
            </w:r>
          </w:p>
          <w:p w:rsidR="00990191" w:rsidRPr="00454198" w:rsidRDefault="00990191" w:rsidP="00FA19BD">
            <w:pPr>
              <w:jc w:val="center"/>
              <w:rPr>
                <w:b/>
              </w:rPr>
            </w:pPr>
            <w:r w:rsidRPr="00454198">
              <w:rPr>
                <w:b/>
              </w:rPr>
              <w:t>£16,739,000</w:t>
            </w:r>
          </w:p>
        </w:tc>
        <w:tc>
          <w:tcPr>
            <w:tcW w:w="1347" w:type="dxa"/>
            <w:tcBorders>
              <w:top w:val="nil"/>
              <w:bottom w:val="single" w:sz="4" w:space="0" w:color="auto"/>
            </w:tcBorders>
            <w:shd w:val="clear" w:color="auto" w:fill="E0E0E0"/>
          </w:tcPr>
          <w:p w:rsidR="00990191" w:rsidRDefault="00990191" w:rsidP="00FA19BD"/>
        </w:tc>
        <w:tc>
          <w:tcPr>
            <w:tcW w:w="1453" w:type="dxa"/>
            <w:tcBorders>
              <w:top w:val="nil"/>
              <w:bottom w:val="single" w:sz="4" w:space="0" w:color="auto"/>
            </w:tcBorders>
            <w:shd w:val="clear" w:color="auto" w:fill="E0E0E0"/>
          </w:tcPr>
          <w:p w:rsidR="00990191" w:rsidRDefault="00990191" w:rsidP="00FA19BD"/>
        </w:tc>
        <w:tc>
          <w:tcPr>
            <w:tcW w:w="1453" w:type="dxa"/>
            <w:tcBorders>
              <w:bottom w:val="single" w:sz="4" w:space="0" w:color="auto"/>
            </w:tcBorders>
          </w:tcPr>
          <w:p w:rsidR="00990191" w:rsidRDefault="00990191" w:rsidP="00FA19BD">
            <w:r>
              <w:t xml:space="preserve">(336) </w:t>
            </w:r>
            <w:r w:rsidRPr="00454198">
              <w:rPr>
                <w:b/>
              </w:rPr>
              <w:t>336</w:t>
            </w:r>
          </w:p>
        </w:tc>
      </w:tr>
      <w:tr w:rsidR="00990191" w:rsidRPr="00D1554A" w:rsidTr="00FA19BD">
        <w:tc>
          <w:tcPr>
            <w:tcW w:w="2518" w:type="dxa"/>
            <w:tcBorders>
              <w:top w:val="single" w:sz="4" w:space="0" w:color="auto"/>
              <w:bottom w:val="single" w:sz="4" w:space="0" w:color="auto"/>
            </w:tcBorders>
            <w:shd w:val="clear" w:color="auto" w:fill="CCFFCC"/>
          </w:tcPr>
          <w:p w:rsidR="00990191" w:rsidRDefault="00990191" w:rsidP="00FA19BD">
            <w:pPr>
              <w:rPr>
                <w:b/>
              </w:rPr>
            </w:pPr>
          </w:p>
          <w:p w:rsidR="00990191" w:rsidRDefault="00990191" w:rsidP="00FA19BD">
            <w:pPr>
              <w:rPr>
                <w:b/>
              </w:rPr>
            </w:pPr>
            <w:r w:rsidRPr="00D1554A">
              <w:rPr>
                <w:b/>
              </w:rPr>
              <w:t>Totals</w:t>
            </w:r>
          </w:p>
          <w:p w:rsidR="00990191" w:rsidRPr="00D1554A" w:rsidRDefault="00990191" w:rsidP="00FA19BD">
            <w:pPr>
              <w:rPr>
                <w:b/>
              </w:rPr>
            </w:pPr>
          </w:p>
        </w:tc>
        <w:tc>
          <w:tcPr>
            <w:tcW w:w="1453" w:type="dxa"/>
            <w:tcBorders>
              <w:top w:val="single" w:sz="4" w:space="0" w:color="auto"/>
              <w:bottom w:val="single" w:sz="4" w:space="0" w:color="auto"/>
            </w:tcBorders>
            <w:shd w:val="clear" w:color="auto" w:fill="CCFFCC"/>
            <w:vAlign w:val="center"/>
          </w:tcPr>
          <w:p w:rsidR="00990191" w:rsidRPr="00D1554A" w:rsidRDefault="00990191" w:rsidP="00FA19BD">
            <w:pPr>
              <w:jc w:val="center"/>
              <w:rPr>
                <w:b/>
              </w:rPr>
            </w:pPr>
            <w:r>
              <w:rPr>
                <w:b/>
              </w:rPr>
              <w:t xml:space="preserve">(1410*) </w:t>
            </w:r>
            <w:r w:rsidRPr="00D1554A">
              <w:rPr>
                <w:b/>
              </w:rPr>
              <w:t>1339</w:t>
            </w:r>
            <w:r>
              <w:rPr>
                <w:b/>
              </w:rPr>
              <w:t>*</w:t>
            </w:r>
          </w:p>
        </w:tc>
        <w:tc>
          <w:tcPr>
            <w:tcW w:w="1453" w:type="dxa"/>
            <w:tcBorders>
              <w:top w:val="single" w:sz="4" w:space="0" w:color="auto"/>
              <w:bottom w:val="single" w:sz="4" w:space="0" w:color="auto"/>
            </w:tcBorders>
            <w:shd w:val="clear" w:color="auto" w:fill="CCFFCC"/>
            <w:vAlign w:val="center"/>
          </w:tcPr>
          <w:p w:rsidR="00990191" w:rsidRPr="00D1554A" w:rsidRDefault="00990191" w:rsidP="00FA19BD">
            <w:pPr>
              <w:jc w:val="center"/>
              <w:rPr>
                <w:b/>
              </w:rPr>
            </w:pPr>
            <w:r w:rsidRPr="00D1554A">
              <w:rPr>
                <w:b/>
              </w:rPr>
              <w:t>(795)</w:t>
            </w:r>
          </w:p>
          <w:p w:rsidR="00990191" w:rsidRPr="00D1554A" w:rsidRDefault="00990191" w:rsidP="00FA19BD">
            <w:pPr>
              <w:jc w:val="center"/>
              <w:rPr>
                <w:b/>
              </w:rPr>
            </w:pPr>
            <w:r>
              <w:rPr>
                <w:b/>
              </w:rPr>
              <w:t>909</w:t>
            </w:r>
          </w:p>
        </w:tc>
        <w:tc>
          <w:tcPr>
            <w:tcW w:w="1453" w:type="dxa"/>
            <w:tcBorders>
              <w:top w:val="single" w:sz="4" w:space="0" w:color="auto"/>
              <w:bottom w:val="single" w:sz="4" w:space="0" w:color="auto"/>
            </w:tcBorders>
            <w:shd w:val="clear" w:color="auto" w:fill="CCFFCC"/>
            <w:vAlign w:val="center"/>
          </w:tcPr>
          <w:p w:rsidR="00990191" w:rsidRPr="00D1554A" w:rsidRDefault="00990191" w:rsidP="00FA19BD">
            <w:pPr>
              <w:jc w:val="center"/>
              <w:rPr>
                <w:b/>
              </w:rPr>
            </w:pPr>
            <w:r w:rsidRPr="00D1554A">
              <w:rPr>
                <w:b/>
              </w:rPr>
              <w:t>(1468)</w:t>
            </w:r>
          </w:p>
          <w:p w:rsidR="00990191" w:rsidRPr="00D1554A" w:rsidRDefault="00990191" w:rsidP="00FA19BD">
            <w:pPr>
              <w:jc w:val="center"/>
              <w:rPr>
                <w:b/>
              </w:rPr>
            </w:pPr>
            <w:r>
              <w:rPr>
                <w:b/>
              </w:rPr>
              <w:t>1166.6</w:t>
            </w:r>
          </w:p>
        </w:tc>
        <w:tc>
          <w:tcPr>
            <w:tcW w:w="1453" w:type="dxa"/>
            <w:tcBorders>
              <w:top w:val="single" w:sz="4" w:space="0" w:color="auto"/>
              <w:bottom w:val="single" w:sz="4" w:space="0" w:color="auto"/>
            </w:tcBorders>
            <w:shd w:val="clear" w:color="auto" w:fill="CCFFCC"/>
            <w:vAlign w:val="center"/>
          </w:tcPr>
          <w:p w:rsidR="00990191" w:rsidRPr="00D1554A" w:rsidRDefault="00990191" w:rsidP="00FA19BD">
            <w:pPr>
              <w:jc w:val="center"/>
              <w:rPr>
                <w:b/>
              </w:rPr>
            </w:pPr>
            <w:r w:rsidRPr="00D1554A">
              <w:rPr>
                <w:b/>
              </w:rPr>
              <w:t>(461)</w:t>
            </w:r>
          </w:p>
          <w:p w:rsidR="00990191" w:rsidRPr="00D1554A" w:rsidRDefault="00990191" w:rsidP="00FA19BD">
            <w:pPr>
              <w:jc w:val="center"/>
              <w:rPr>
                <w:b/>
              </w:rPr>
            </w:pPr>
            <w:r w:rsidRPr="00D1554A">
              <w:rPr>
                <w:b/>
              </w:rPr>
              <w:t>294.3</w:t>
            </w:r>
          </w:p>
        </w:tc>
        <w:tc>
          <w:tcPr>
            <w:tcW w:w="1559" w:type="dxa"/>
            <w:tcBorders>
              <w:top w:val="single" w:sz="4" w:space="0" w:color="auto"/>
              <w:bottom w:val="single" w:sz="4" w:space="0" w:color="auto"/>
            </w:tcBorders>
            <w:shd w:val="clear" w:color="auto" w:fill="CCFFCC"/>
            <w:vAlign w:val="center"/>
          </w:tcPr>
          <w:p w:rsidR="00990191" w:rsidRPr="00D1554A" w:rsidRDefault="00990191" w:rsidP="00FA19BD">
            <w:pPr>
              <w:jc w:val="center"/>
              <w:rPr>
                <w:b/>
                <w:sz w:val="20"/>
              </w:rPr>
            </w:pPr>
            <w:r w:rsidRPr="00D1554A">
              <w:rPr>
                <w:b/>
                <w:sz w:val="20"/>
              </w:rPr>
              <w:t>(£18,100,000)</w:t>
            </w:r>
          </w:p>
          <w:p w:rsidR="00990191" w:rsidRPr="00D1554A" w:rsidRDefault="00990191" w:rsidP="00FA19BD">
            <w:pPr>
              <w:jc w:val="center"/>
              <w:rPr>
                <w:b/>
              </w:rPr>
            </w:pPr>
            <w:r>
              <w:rPr>
                <w:b/>
              </w:rPr>
              <w:t>£50,943</w:t>
            </w:r>
            <w:r w:rsidRPr="00D1554A">
              <w:rPr>
                <w:b/>
              </w:rPr>
              <w:t>,000</w:t>
            </w:r>
          </w:p>
        </w:tc>
        <w:tc>
          <w:tcPr>
            <w:tcW w:w="1347" w:type="dxa"/>
            <w:tcBorders>
              <w:top w:val="single" w:sz="4" w:space="0" w:color="auto"/>
              <w:bottom w:val="single" w:sz="4" w:space="0" w:color="auto"/>
            </w:tcBorders>
            <w:shd w:val="clear" w:color="auto" w:fill="CCFFCC"/>
            <w:vAlign w:val="center"/>
          </w:tcPr>
          <w:p w:rsidR="00990191" w:rsidRPr="00D1554A" w:rsidRDefault="00990191" w:rsidP="00FA19BD">
            <w:pPr>
              <w:jc w:val="center"/>
              <w:rPr>
                <w:b/>
              </w:rPr>
            </w:pPr>
            <w:r w:rsidRPr="00D1554A">
              <w:rPr>
                <w:b/>
              </w:rPr>
              <w:t>(260)</w:t>
            </w:r>
          </w:p>
          <w:p w:rsidR="00990191" w:rsidRPr="00D1554A" w:rsidRDefault="00990191" w:rsidP="00FA19BD">
            <w:pPr>
              <w:jc w:val="center"/>
              <w:rPr>
                <w:b/>
              </w:rPr>
            </w:pPr>
            <w:r w:rsidRPr="00D1554A">
              <w:rPr>
                <w:b/>
              </w:rPr>
              <w:t>286</w:t>
            </w:r>
          </w:p>
        </w:tc>
        <w:tc>
          <w:tcPr>
            <w:tcW w:w="1453" w:type="dxa"/>
            <w:tcBorders>
              <w:top w:val="single" w:sz="4" w:space="0" w:color="auto"/>
              <w:bottom w:val="single" w:sz="4" w:space="0" w:color="auto"/>
            </w:tcBorders>
            <w:shd w:val="clear" w:color="auto" w:fill="CCFFCC"/>
            <w:vAlign w:val="center"/>
          </w:tcPr>
          <w:p w:rsidR="00990191" w:rsidRPr="00D1554A" w:rsidRDefault="00990191" w:rsidP="00FA19BD">
            <w:pPr>
              <w:jc w:val="center"/>
              <w:rPr>
                <w:b/>
              </w:rPr>
            </w:pPr>
            <w:r w:rsidRPr="00D1554A">
              <w:rPr>
                <w:b/>
              </w:rPr>
              <w:t>(180)</w:t>
            </w:r>
          </w:p>
          <w:p w:rsidR="00990191" w:rsidRPr="00D1554A" w:rsidRDefault="00990191" w:rsidP="00FA19BD">
            <w:pPr>
              <w:jc w:val="center"/>
              <w:rPr>
                <w:b/>
              </w:rPr>
            </w:pPr>
            <w:r w:rsidRPr="00D1554A">
              <w:rPr>
                <w:b/>
              </w:rPr>
              <w:t>1</w:t>
            </w:r>
            <w:r>
              <w:rPr>
                <w:b/>
              </w:rPr>
              <w:t>04</w:t>
            </w:r>
          </w:p>
        </w:tc>
        <w:tc>
          <w:tcPr>
            <w:tcW w:w="1453" w:type="dxa"/>
            <w:tcBorders>
              <w:top w:val="single" w:sz="4" w:space="0" w:color="auto"/>
              <w:bottom w:val="single" w:sz="4" w:space="0" w:color="auto"/>
            </w:tcBorders>
            <w:shd w:val="clear" w:color="auto" w:fill="CCFFCC"/>
            <w:vAlign w:val="center"/>
          </w:tcPr>
          <w:p w:rsidR="00990191" w:rsidRPr="00D1554A" w:rsidRDefault="00990191" w:rsidP="00FA19BD">
            <w:pPr>
              <w:jc w:val="center"/>
              <w:rPr>
                <w:b/>
              </w:rPr>
            </w:pPr>
            <w:r w:rsidRPr="00D1554A">
              <w:rPr>
                <w:b/>
              </w:rPr>
              <w:t>(450)</w:t>
            </w:r>
          </w:p>
          <w:p w:rsidR="00990191" w:rsidRPr="00D1554A" w:rsidRDefault="00990191" w:rsidP="00FA19BD">
            <w:pPr>
              <w:jc w:val="center"/>
              <w:rPr>
                <w:b/>
              </w:rPr>
            </w:pPr>
            <w:r w:rsidRPr="00D1554A">
              <w:rPr>
                <w:b/>
              </w:rPr>
              <w:t>450</w:t>
            </w:r>
          </w:p>
        </w:tc>
      </w:tr>
    </w:tbl>
    <w:p w:rsidR="00990191" w:rsidRDefault="00990191" w:rsidP="00990191"/>
    <w:p w:rsidR="00990191" w:rsidRPr="003B7942" w:rsidRDefault="00990191" w:rsidP="00990191">
      <w:r>
        <w:t xml:space="preserve"> * Net Target following removal of dual assists = 1269        Achieved = 1278</w:t>
      </w:r>
    </w:p>
    <w:p w:rsidR="00D73AC6" w:rsidRDefault="00D73AC6" w:rsidP="00D73AC6"/>
    <w:p w:rsidR="00CC0469" w:rsidRDefault="00D73AC6" w:rsidP="00D73AC6">
      <w:r>
        <w:tab/>
      </w:r>
      <w:r w:rsidRPr="00D73AC6">
        <w:t xml:space="preserve">     </w:t>
      </w:r>
      <w:r w:rsidR="00496C93" w:rsidRPr="00D73AC6">
        <w:t xml:space="preserve">     </w:t>
      </w:r>
      <w:r w:rsidR="008C36DC" w:rsidRPr="00D73AC6">
        <w:t xml:space="preserve"> </w:t>
      </w:r>
      <w:r w:rsidR="003C7194" w:rsidRPr="00D73AC6">
        <w:t xml:space="preserve"> </w:t>
      </w:r>
      <w:r w:rsidR="00CC0469" w:rsidRPr="00D73AC6">
        <w:br/>
      </w:r>
    </w:p>
    <w:p w:rsidR="000A4DAB" w:rsidRDefault="000A4DAB" w:rsidP="00D73AC6">
      <w:pPr>
        <w:sectPr w:rsidR="000A4DAB" w:rsidSect="00F6738D">
          <w:pgSz w:w="15840" w:h="12240" w:orient="landscape"/>
          <w:pgMar w:top="1701" w:right="1304" w:bottom="1701" w:left="1361" w:header="709" w:footer="709" w:gutter="0"/>
          <w:cols w:space="708"/>
          <w:docGrid w:linePitch="360"/>
        </w:sectPr>
      </w:pPr>
    </w:p>
    <w:p w:rsidR="000A4DAB" w:rsidRPr="000A4DAB" w:rsidRDefault="000A4DAB" w:rsidP="00D73AC6">
      <w:pPr>
        <w:rPr>
          <w:b/>
        </w:rPr>
      </w:pPr>
      <w:r w:rsidRPr="000A4DAB">
        <w:rPr>
          <w:b/>
        </w:rPr>
        <w:lastRenderedPageBreak/>
        <w:t>4.</w:t>
      </w:r>
      <w:r w:rsidRPr="000A4DAB">
        <w:rPr>
          <w:b/>
        </w:rPr>
        <w:tab/>
        <w:t>The North West Fund</w:t>
      </w:r>
    </w:p>
    <w:p w:rsidR="000A4DAB" w:rsidRDefault="000A4DAB" w:rsidP="00D73AC6"/>
    <w:p w:rsidR="000A4DAB" w:rsidRDefault="000A4DAB" w:rsidP="000A4DAB">
      <w:pPr>
        <w:ind w:left="851" w:hanging="851"/>
      </w:pPr>
      <w:r>
        <w:t>4.1</w:t>
      </w:r>
      <w:r>
        <w:tab/>
      </w:r>
      <w:r w:rsidRPr="000A4DAB">
        <w:t xml:space="preserve">The North West Fund is now almost </w:t>
      </w:r>
      <w:r>
        <w:t xml:space="preserve">fully invested and </w:t>
      </w:r>
      <w:r w:rsidRPr="000A4DAB">
        <w:t>has already supported more than 430 businesses across Cheshire, Cumbria, Lancashire, Greater Manchester and Merseyside with over £148m</w:t>
      </w:r>
      <w:r>
        <w:t xml:space="preserve"> of finance</w:t>
      </w:r>
      <w:r w:rsidRPr="000A4DAB">
        <w:t>.</w:t>
      </w:r>
    </w:p>
    <w:p w:rsidR="000A4DAB" w:rsidRDefault="000A4DAB" w:rsidP="000A4DAB">
      <w:pPr>
        <w:ind w:left="851" w:hanging="851"/>
      </w:pPr>
    </w:p>
    <w:p w:rsidR="000A4DAB" w:rsidRDefault="000A4DAB" w:rsidP="000A4DAB">
      <w:pPr>
        <w:ind w:left="851" w:hanging="851"/>
      </w:pPr>
      <w:r>
        <w:t>4.2</w:t>
      </w:r>
      <w:r>
        <w:tab/>
      </w:r>
      <w:r>
        <w:t>The North West Fund is a £155m evergreen investment fund established to provide debt and equity funding to small and medium sized enterprises in the North West of England. The Fund will address an identified gap in the lending, venture capital and private equity markets.</w:t>
      </w:r>
    </w:p>
    <w:p w:rsidR="000A4DAB" w:rsidRDefault="000A4DAB" w:rsidP="000A4DAB">
      <w:pPr>
        <w:ind w:left="851" w:hanging="851"/>
      </w:pPr>
    </w:p>
    <w:p w:rsidR="000A4DAB" w:rsidRDefault="0055522B" w:rsidP="000A4DAB">
      <w:pPr>
        <w:ind w:left="851" w:hanging="851"/>
      </w:pPr>
      <w:r>
        <w:t>4.3</w:t>
      </w:r>
      <w:r>
        <w:tab/>
      </w:r>
      <w:r w:rsidR="000A4DAB">
        <w:t>The Fund is managed by North West Business Finance Limited, an independent private sector company. It comprises seven specific funds, each of which is managed by an experienced Fund Manager. These Fund Managers have been appointed to manage the discrete funds. They will deploy the capital in a non-competitive and collaborative manner to provide comprehensive and tailored support to facilitate the long-term growth and prosperity of small and medium sized enterprises across the region.</w:t>
      </w:r>
    </w:p>
    <w:p w:rsidR="000A4DAB" w:rsidRDefault="000A4DAB" w:rsidP="000A4DAB">
      <w:pPr>
        <w:ind w:left="851" w:hanging="851"/>
      </w:pPr>
    </w:p>
    <w:p w:rsidR="000A4DAB" w:rsidRDefault="0055522B" w:rsidP="0055522B">
      <w:pPr>
        <w:ind w:left="851" w:hanging="851"/>
      </w:pPr>
      <w:r>
        <w:t>4.4</w:t>
      </w:r>
      <w:r>
        <w:tab/>
      </w:r>
      <w:r w:rsidR="000A4DAB">
        <w:t xml:space="preserve">The North West Fund's initial investment period </w:t>
      </w:r>
      <w:r>
        <w:t>lasted</w:t>
      </w:r>
      <w:r w:rsidR="000A4DAB">
        <w:t xml:space="preserve"> until December 2015, with a subsequent realisation period through to December 2022.</w:t>
      </w:r>
    </w:p>
    <w:p w:rsidR="000A4DAB" w:rsidRDefault="000A4DAB" w:rsidP="000A4DAB">
      <w:pPr>
        <w:ind w:left="851" w:hanging="851"/>
      </w:pPr>
    </w:p>
    <w:p w:rsidR="000A4DAB" w:rsidRDefault="0055522B" w:rsidP="000A4DAB">
      <w:pPr>
        <w:ind w:left="851" w:hanging="851"/>
      </w:pPr>
      <w:r>
        <w:t>4.5</w:t>
      </w:r>
      <w:r>
        <w:tab/>
      </w:r>
      <w:r w:rsidR="000A4DAB">
        <w:t>The North West Fund is financed by the European Regional Development Fund and the European Investment Bank (EIB) under the European Commission's Joint European Resources for Micro to Medium Enterprises Initiative - otherwise known as the JEREMIE programme.</w:t>
      </w:r>
      <w:r>
        <w:br/>
      </w:r>
    </w:p>
    <w:p w:rsidR="0055522B" w:rsidRDefault="0055522B" w:rsidP="000A4DAB">
      <w:pPr>
        <w:ind w:left="851" w:hanging="851"/>
      </w:pPr>
      <w:r>
        <w:t>4.6</w:t>
      </w:r>
      <w:r>
        <w:tab/>
        <w:t>From a European funding perspective, the NWF covered two funding areas, Merseyside (viewed as a priority for European Funding) and the rest of North West covering the other four LEP areas.</w:t>
      </w:r>
      <w:r>
        <w:br/>
      </w:r>
    </w:p>
    <w:p w:rsidR="0055522B" w:rsidRDefault="0055522B" w:rsidP="0055522B">
      <w:pPr>
        <w:ind w:left="851" w:hanging="851"/>
      </w:pPr>
      <w:r>
        <w:t>4.7</w:t>
      </w:r>
      <w:r>
        <w:tab/>
        <w:t xml:space="preserve">By </w:t>
      </w:r>
      <w:proofErr w:type="spellStart"/>
      <w:r>
        <w:t>mid 2015</w:t>
      </w:r>
      <w:proofErr w:type="spellEnd"/>
      <w:r>
        <w:t xml:space="preserve"> i</w:t>
      </w:r>
      <w:r>
        <w:t>nvestment</w:t>
      </w:r>
      <w:r>
        <w:t>s</w:t>
      </w:r>
      <w:r>
        <w:t xml:space="preserve"> In Lancashire amounted to £10.1m in 35 companies with an anticipated outcome for the programme of £12m to £13m</w:t>
      </w:r>
      <w:r>
        <w:t xml:space="preserve">.  We are awaiting confirmation of these figures.  Generally, </w:t>
      </w:r>
      <w:r>
        <w:t>Lancashire</w:t>
      </w:r>
      <w:r>
        <w:t>'s business density accounts</w:t>
      </w:r>
      <w:r>
        <w:t xml:space="preserve"> for 44,150 (21.3%) out of a total businesses stock of 206,810 </w:t>
      </w:r>
      <w:r>
        <w:t xml:space="preserve">across the North West </w:t>
      </w:r>
      <w:r>
        <w:t>and that the demographics of its business base in terms of average employee numbers was broadly comparable to GM and Cheshire.</w:t>
      </w:r>
      <w:r>
        <w:t xml:space="preserve">  Given this context </w:t>
      </w:r>
      <w:r>
        <w:t>Lancashire might be disappointed with just £12m to £13m when it might more reasonably have expected significantly more.</w:t>
      </w:r>
    </w:p>
    <w:p w:rsidR="0055522B" w:rsidRDefault="0055522B" w:rsidP="0055522B">
      <w:pPr>
        <w:ind w:left="851" w:hanging="851"/>
      </w:pPr>
    </w:p>
    <w:p w:rsidR="0055522B" w:rsidRDefault="0055522B" w:rsidP="0055522B">
      <w:pPr>
        <w:ind w:left="851" w:hanging="851"/>
      </w:pPr>
      <w:r>
        <w:t>4.8</w:t>
      </w:r>
      <w:r>
        <w:tab/>
      </w:r>
      <w:r>
        <w:t xml:space="preserve">NWF's </w:t>
      </w:r>
      <w:r>
        <w:t>explan</w:t>
      </w:r>
      <w:r>
        <w:t>ation</w:t>
      </w:r>
      <w:r w:rsidR="00FE1430">
        <w:t xml:space="preserve"> of </w:t>
      </w:r>
      <w:r>
        <w:t xml:space="preserve">this </w:t>
      </w:r>
      <w:r w:rsidR="00FE1430">
        <w:t>rests</w:t>
      </w:r>
      <w:r>
        <w:t xml:space="preserve"> partly because NWBF was required to invest 40% of its capital into Merseyside which had only 15% of the business stock and 60% into the </w:t>
      </w:r>
      <w:proofErr w:type="spellStart"/>
      <w:r>
        <w:t>RoNW</w:t>
      </w:r>
      <w:proofErr w:type="spellEnd"/>
      <w:r>
        <w:t xml:space="preserve"> which had the remaining 85%. This meant NWBF was required to invest £3.80 into Merseyside for each £ into the </w:t>
      </w:r>
      <w:proofErr w:type="spellStart"/>
      <w:r>
        <w:t>RoNW</w:t>
      </w:r>
      <w:proofErr w:type="spellEnd"/>
      <w:r>
        <w:t xml:space="preserve"> relative to business density.</w:t>
      </w:r>
      <w:r w:rsidR="00FE1430">
        <w:t xml:space="preserve">  </w:t>
      </w:r>
      <w:r>
        <w:t xml:space="preserve">There were no individual targets for LEP areas within the </w:t>
      </w:r>
      <w:proofErr w:type="spellStart"/>
      <w:r>
        <w:t>RoNW</w:t>
      </w:r>
      <w:proofErr w:type="spellEnd"/>
      <w:r>
        <w:t>.</w:t>
      </w:r>
      <w:r w:rsidR="00FE1430">
        <w:br/>
      </w:r>
    </w:p>
    <w:p w:rsidR="00FE1430" w:rsidRDefault="00FE1430" w:rsidP="0055522B">
      <w:pPr>
        <w:ind w:left="851" w:hanging="851"/>
      </w:pPr>
    </w:p>
    <w:p w:rsidR="00FE1430" w:rsidRDefault="00FE1430">
      <w:r>
        <w:br w:type="page"/>
      </w:r>
    </w:p>
    <w:p w:rsidR="00FE1430" w:rsidRPr="00FE1430" w:rsidRDefault="00FE1430" w:rsidP="0055522B">
      <w:pPr>
        <w:ind w:left="851" w:hanging="851"/>
        <w:rPr>
          <w:b/>
        </w:rPr>
      </w:pPr>
      <w:r w:rsidRPr="00FE1430">
        <w:rPr>
          <w:b/>
        </w:rPr>
        <w:lastRenderedPageBreak/>
        <w:t>5.</w:t>
      </w:r>
      <w:r w:rsidRPr="00FE1430">
        <w:rPr>
          <w:b/>
        </w:rPr>
        <w:tab/>
        <w:t>The North West Fund Moving Forward</w:t>
      </w:r>
      <w:r w:rsidRPr="00FE1430">
        <w:rPr>
          <w:b/>
        </w:rPr>
        <w:br/>
      </w:r>
    </w:p>
    <w:p w:rsidR="00FE1430" w:rsidRDefault="00FE1430" w:rsidP="00FE1430"/>
    <w:p w:rsidR="00FE1430" w:rsidRDefault="00FE1430" w:rsidP="00FE1430">
      <w:pPr>
        <w:ind w:left="993" w:hanging="993"/>
      </w:pPr>
      <w:r>
        <w:t>5.1</w:t>
      </w:r>
      <w:r>
        <w:tab/>
        <w:t>Having worked for over 18 months to try to secure a new NWF in the next European Programme, the five NW LEP's and others were presented with a proposal from the British Business Bank (BBB</w:t>
      </w:r>
      <w:proofErr w:type="gramStart"/>
      <w:r>
        <w:t>)to</w:t>
      </w:r>
      <w:proofErr w:type="gramEnd"/>
      <w:r>
        <w:t xml:space="preserve"> establish a Northern Powerhouse Investment Fund (NPIF) which will cover 10 of the 11 northern LEPs who were previously part of three North East, North West and Yorkshire programme. The one LEP not to join is the North East LEP.</w:t>
      </w:r>
      <w:r>
        <w:br/>
      </w:r>
    </w:p>
    <w:p w:rsidR="00FE1430" w:rsidRDefault="00FE1430" w:rsidP="00FE1430">
      <w:pPr>
        <w:ind w:left="993" w:hanging="993"/>
      </w:pPr>
      <w:r>
        <w:t>5.2</w:t>
      </w:r>
      <w:r>
        <w:tab/>
        <w:t>In total the new fund will be worth £406m with Lancashire committing £12.5m of its ERDF to the project.</w:t>
      </w:r>
      <w:r>
        <w:br/>
      </w:r>
    </w:p>
    <w:p w:rsidR="00FE1430" w:rsidRDefault="00FE1430" w:rsidP="00FE1430">
      <w:pPr>
        <w:ind w:left="993" w:hanging="993"/>
      </w:pPr>
    </w:p>
    <w:p w:rsidR="00FE1430" w:rsidRDefault="00FE1430" w:rsidP="00FE1430">
      <w:pPr>
        <w:ind w:left="993" w:hanging="993"/>
      </w:pPr>
    </w:p>
    <w:p w:rsidR="00FE1430" w:rsidRDefault="00FE1430" w:rsidP="00FE1430">
      <w:pPr>
        <w:ind w:left="993" w:hanging="993"/>
      </w:pPr>
      <w:r>
        <w:tab/>
        <w:t xml:space="preserve"> </w:t>
      </w:r>
      <w:r>
        <w:tab/>
      </w:r>
      <w:r w:rsidRPr="00FE1430">
        <w:drawing>
          <wp:inline distT="0" distB="0" distL="0" distR="0" wp14:anchorId="499A1B5D" wp14:editId="22C0C281">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FE1430" w:rsidRDefault="00FE1430" w:rsidP="00FE1430">
      <w:pPr>
        <w:ind w:left="993" w:hanging="993"/>
      </w:pPr>
    </w:p>
    <w:p w:rsidR="00FE1430" w:rsidRDefault="00FE1430" w:rsidP="00FE1430">
      <w:pPr>
        <w:ind w:left="993" w:hanging="993"/>
      </w:pPr>
    </w:p>
    <w:p w:rsidR="00FE1430" w:rsidRDefault="00FE1430" w:rsidP="00FE1430">
      <w:pPr>
        <w:ind w:left="993" w:hanging="993"/>
        <w:sectPr w:rsidR="00FE1430" w:rsidSect="000A4DAB">
          <w:pgSz w:w="12240" w:h="15840"/>
          <w:pgMar w:top="1304" w:right="1701" w:bottom="1361" w:left="1701" w:header="709" w:footer="709" w:gutter="0"/>
          <w:cols w:space="708"/>
          <w:docGrid w:linePitch="360"/>
        </w:sectPr>
      </w:pPr>
      <w:r>
        <w:t>5.3</w:t>
      </w:r>
      <w:r>
        <w:tab/>
        <w:t>The BBB</w:t>
      </w:r>
      <w:r w:rsidR="00180CF5">
        <w:t xml:space="preserve"> have a tight timescale </w:t>
      </w:r>
      <w:proofErr w:type="gramStart"/>
      <w:r w:rsidR="00180CF5">
        <w:t>to  develop</w:t>
      </w:r>
      <w:proofErr w:type="gramEnd"/>
      <w:r w:rsidR="00180CF5">
        <w:t xml:space="preserve"> the parameters and investment policy of the new fund and establish a  governance structure which satisfies all the  partners.   It is recommended that the BSMB seeks representation on the interim Strategic Oversight Board </w:t>
      </w:r>
      <w:proofErr w:type="gramStart"/>
      <w:r w:rsidR="00180CF5">
        <w:t>or ,</w:t>
      </w:r>
      <w:proofErr w:type="gramEnd"/>
      <w:r w:rsidR="00180CF5">
        <w:t xml:space="preserve"> as a minimum, receives regular updates on progress.</w:t>
      </w:r>
      <w:bookmarkStart w:id="0" w:name="_GoBack"/>
      <w:bookmarkEnd w:id="0"/>
    </w:p>
    <w:p w:rsidR="00D90512" w:rsidRPr="0008566B" w:rsidRDefault="00990191" w:rsidP="00CC0469">
      <w:pPr>
        <w:pStyle w:val="ListParagraph"/>
        <w:ind w:left="709"/>
        <w:rPr>
          <w:rFonts w:ascii="Arial" w:hAnsi="Arial" w:cs="Arial"/>
        </w:rPr>
      </w:pPr>
      <w:r w:rsidRPr="00990191">
        <w:rPr>
          <w:rFonts w:ascii="Arial" w:hAnsi="Arial" w:cs="Arial"/>
          <w:noProof/>
        </w:rPr>
        <w:lastRenderedPageBreak/>
        <w:drawing>
          <wp:inline distT="0" distB="0" distL="0" distR="0">
            <wp:extent cx="7782128" cy="61071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0585" cy="6113830"/>
                    </a:xfrm>
                    <a:prstGeom prst="rect">
                      <a:avLst/>
                    </a:prstGeom>
                    <a:noFill/>
                    <a:ln>
                      <a:noFill/>
                    </a:ln>
                  </pic:spPr>
                </pic:pic>
              </a:graphicData>
            </a:graphic>
          </wp:inline>
        </w:drawing>
      </w:r>
      <w:r w:rsidR="00513475" w:rsidRPr="0008566B">
        <w:rPr>
          <w:rFonts w:ascii="Arial" w:hAnsi="Arial" w:cs="Arial"/>
        </w:rPr>
        <w:t xml:space="preserve"> </w:t>
      </w:r>
      <w:r w:rsidR="00AB7E89" w:rsidRPr="0008566B">
        <w:rPr>
          <w:rFonts w:ascii="Arial" w:hAnsi="Arial" w:cs="Arial"/>
        </w:rPr>
        <w:t xml:space="preserve"> </w:t>
      </w:r>
      <w:r w:rsidR="00CB70BC" w:rsidRPr="0008566B">
        <w:rPr>
          <w:rFonts w:ascii="Arial" w:hAnsi="Arial" w:cs="Arial"/>
        </w:rPr>
        <w:t xml:space="preserve"> </w:t>
      </w:r>
      <w:r w:rsidR="00D90512" w:rsidRPr="0008566B">
        <w:rPr>
          <w:rFonts w:ascii="Arial" w:hAnsi="Arial" w:cs="Arial"/>
        </w:rPr>
        <w:t xml:space="preserve"> </w:t>
      </w:r>
    </w:p>
    <w:sectPr w:rsidR="00D90512" w:rsidRPr="0008566B" w:rsidSect="00F6738D">
      <w:pgSz w:w="15840" w:h="12240" w:orient="landscape"/>
      <w:pgMar w:top="1701" w:right="1304" w:bottom="170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56" w:rsidRDefault="00BF7856">
      <w:r>
        <w:separator/>
      </w:r>
    </w:p>
  </w:endnote>
  <w:endnote w:type="continuationSeparator" w:id="0">
    <w:p w:rsidR="00BF7856" w:rsidRDefault="00BF7856">
      <w:r>
        <w:continuationSeparator/>
      </w:r>
    </w:p>
  </w:endnote>
  <w:endnote w:type="continuationNotice" w:id="1">
    <w:p w:rsidR="00BF7856" w:rsidRDefault="00BF7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627855"/>
      <w:docPartObj>
        <w:docPartGallery w:val="Page Numbers (Bottom of Page)"/>
        <w:docPartUnique/>
      </w:docPartObj>
    </w:sdtPr>
    <w:sdtEndPr>
      <w:rPr>
        <w:noProof/>
      </w:rPr>
    </w:sdtEndPr>
    <w:sdtContent>
      <w:p w:rsidR="000F1CF9" w:rsidRDefault="000F1CF9">
        <w:pPr>
          <w:pStyle w:val="Footer"/>
          <w:jc w:val="center"/>
        </w:pPr>
        <w:r>
          <w:fldChar w:fldCharType="begin"/>
        </w:r>
        <w:r>
          <w:instrText xml:space="preserve"> PAGE   \* MERGEFORMAT </w:instrText>
        </w:r>
        <w:r>
          <w:fldChar w:fldCharType="separate"/>
        </w:r>
        <w:r w:rsidR="00180CF5">
          <w:rPr>
            <w:noProof/>
          </w:rPr>
          <w:t>10</w:t>
        </w:r>
        <w:r>
          <w:rPr>
            <w:noProof/>
          </w:rPr>
          <w:fldChar w:fldCharType="end"/>
        </w:r>
      </w:p>
    </w:sdtContent>
  </w:sdt>
  <w:p w:rsidR="000F1CF9" w:rsidRDefault="000F1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56" w:rsidRDefault="00BF7856">
      <w:r>
        <w:separator/>
      </w:r>
    </w:p>
  </w:footnote>
  <w:footnote w:type="continuationSeparator" w:id="0">
    <w:p w:rsidR="00BF7856" w:rsidRDefault="00BF7856">
      <w:r>
        <w:continuationSeparator/>
      </w:r>
    </w:p>
  </w:footnote>
  <w:footnote w:type="continuationNotice" w:id="1">
    <w:p w:rsidR="00BF7856" w:rsidRDefault="00BF78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02E"/>
    <w:multiLevelType w:val="multilevel"/>
    <w:tmpl w:val="608EB806"/>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072E3D"/>
    <w:multiLevelType w:val="hybridMultilevel"/>
    <w:tmpl w:val="15EA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378B"/>
    <w:multiLevelType w:val="hybridMultilevel"/>
    <w:tmpl w:val="0510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95C11"/>
    <w:multiLevelType w:val="hybridMultilevel"/>
    <w:tmpl w:val="78A23F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9A24190"/>
    <w:multiLevelType w:val="multilevel"/>
    <w:tmpl w:val="699E5C6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A390F48"/>
    <w:multiLevelType w:val="hybridMultilevel"/>
    <w:tmpl w:val="CF0A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C2CA1"/>
    <w:multiLevelType w:val="hybridMultilevel"/>
    <w:tmpl w:val="AD2616DE"/>
    <w:lvl w:ilvl="0" w:tplc="C9DED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F2E"/>
    <w:rsid w:val="0004018E"/>
    <w:rsid w:val="00046297"/>
    <w:rsid w:val="00056806"/>
    <w:rsid w:val="00064213"/>
    <w:rsid w:val="00064FED"/>
    <w:rsid w:val="0008468F"/>
    <w:rsid w:val="0008566B"/>
    <w:rsid w:val="0009294F"/>
    <w:rsid w:val="00094832"/>
    <w:rsid w:val="000A08AD"/>
    <w:rsid w:val="000A4DAB"/>
    <w:rsid w:val="000D42C6"/>
    <w:rsid w:val="000D5162"/>
    <w:rsid w:val="000D6642"/>
    <w:rsid w:val="000E0153"/>
    <w:rsid w:val="000F1CF9"/>
    <w:rsid w:val="001032AC"/>
    <w:rsid w:val="00143B2B"/>
    <w:rsid w:val="00172A27"/>
    <w:rsid w:val="00180CF5"/>
    <w:rsid w:val="001A4A65"/>
    <w:rsid w:val="001B3A00"/>
    <w:rsid w:val="00201C71"/>
    <w:rsid w:val="002050FE"/>
    <w:rsid w:val="00220629"/>
    <w:rsid w:val="00224F0E"/>
    <w:rsid w:val="0026556F"/>
    <w:rsid w:val="002A1190"/>
    <w:rsid w:val="002B5E17"/>
    <w:rsid w:val="002B7927"/>
    <w:rsid w:val="002D413F"/>
    <w:rsid w:val="002E2323"/>
    <w:rsid w:val="002F151F"/>
    <w:rsid w:val="003023ED"/>
    <w:rsid w:val="003240EC"/>
    <w:rsid w:val="00336126"/>
    <w:rsid w:val="00346D9D"/>
    <w:rsid w:val="003C7194"/>
    <w:rsid w:val="00455FDE"/>
    <w:rsid w:val="00466A20"/>
    <w:rsid w:val="00496C93"/>
    <w:rsid w:val="00496D48"/>
    <w:rsid w:val="00497754"/>
    <w:rsid w:val="004B3AC6"/>
    <w:rsid w:val="004C132B"/>
    <w:rsid w:val="004C7794"/>
    <w:rsid w:val="004D4B02"/>
    <w:rsid w:val="004D5289"/>
    <w:rsid w:val="0050350D"/>
    <w:rsid w:val="00510210"/>
    <w:rsid w:val="00513475"/>
    <w:rsid w:val="00515992"/>
    <w:rsid w:val="00527A07"/>
    <w:rsid w:val="00553956"/>
    <w:rsid w:val="0055522B"/>
    <w:rsid w:val="00595FF2"/>
    <w:rsid w:val="005B1E81"/>
    <w:rsid w:val="005C3B92"/>
    <w:rsid w:val="005D54F2"/>
    <w:rsid w:val="005D568A"/>
    <w:rsid w:val="006159FC"/>
    <w:rsid w:val="00687748"/>
    <w:rsid w:val="006C01DF"/>
    <w:rsid w:val="006E3677"/>
    <w:rsid w:val="006E37FD"/>
    <w:rsid w:val="006F051B"/>
    <w:rsid w:val="006F78ED"/>
    <w:rsid w:val="00747036"/>
    <w:rsid w:val="007646D6"/>
    <w:rsid w:val="00775EDA"/>
    <w:rsid w:val="00785711"/>
    <w:rsid w:val="00797697"/>
    <w:rsid w:val="007A27EE"/>
    <w:rsid w:val="007A63C0"/>
    <w:rsid w:val="007C482A"/>
    <w:rsid w:val="007C7AAC"/>
    <w:rsid w:val="008452B9"/>
    <w:rsid w:val="0086584C"/>
    <w:rsid w:val="008A03E5"/>
    <w:rsid w:val="008A622B"/>
    <w:rsid w:val="008C36DC"/>
    <w:rsid w:val="008C531F"/>
    <w:rsid w:val="008C5383"/>
    <w:rsid w:val="00921CEE"/>
    <w:rsid w:val="009442E7"/>
    <w:rsid w:val="00990191"/>
    <w:rsid w:val="009D054D"/>
    <w:rsid w:val="00A204D2"/>
    <w:rsid w:val="00A530BA"/>
    <w:rsid w:val="00A74C0A"/>
    <w:rsid w:val="00A76238"/>
    <w:rsid w:val="00A767B4"/>
    <w:rsid w:val="00AA4BA1"/>
    <w:rsid w:val="00AB0FB3"/>
    <w:rsid w:val="00AB7E89"/>
    <w:rsid w:val="00AE3F3C"/>
    <w:rsid w:val="00B00F0A"/>
    <w:rsid w:val="00B052FD"/>
    <w:rsid w:val="00B10348"/>
    <w:rsid w:val="00B37487"/>
    <w:rsid w:val="00BC19B3"/>
    <w:rsid w:val="00BC3139"/>
    <w:rsid w:val="00BC4680"/>
    <w:rsid w:val="00BF7856"/>
    <w:rsid w:val="00C44E0E"/>
    <w:rsid w:val="00C562EB"/>
    <w:rsid w:val="00C83448"/>
    <w:rsid w:val="00CB70BC"/>
    <w:rsid w:val="00CC0469"/>
    <w:rsid w:val="00CC5DEF"/>
    <w:rsid w:val="00CD08B3"/>
    <w:rsid w:val="00D15BFE"/>
    <w:rsid w:val="00D275E7"/>
    <w:rsid w:val="00D563DE"/>
    <w:rsid w:val="00D630F9"/>
    <w:rsid w:val="00D73AC6"/>
    <w:rsid w:val="00D90512"/>
    <w:rsid w:val="00D92C36"/>
    <w:rsid w:val="00D9470B"/>
    <w:rsid w:val="00DB3277"/>
    <w:rsid w:val="00DD3015"/>
    <w:rsid w:val="00DD5CEB"/>
    <w:rsid w:val="00DF0FD2"/>
    <w:rsid w:val="00E00DA0"/>
    <w:rsid w:val="00E17DA2"/>
    <w:rsid w:val="00E24EAC"/>
    <w:rsid w:val="00E25392"/>
    <w:rsid w:val="00E26A44"/>
    <w:rsid w:val="00E53FA1"/>
    <w:rsid w:val="00E8143F"/>
    <w:rsid w:val="00EB0295"/>
    <w:rsid w:val="00F079C9"/>
    <w:rsid w:val="00F241AC"/>
    <w:rsid w:val="00F40C52"/>
    <w:rsid w:val="00F456B2"/>
    <w:rsid w:val="00F51727"/>
    <w:rsid w:val="00F642E7"/>
    <w:rsid w:val="00F6738D"/>
    <w:rsid w:val="00F71640"/>
    <w:rsid w:val="00F8762D"/>
    <w:rsid w:val="00FB28A3"/>
    <w:rsid w:val="00FE1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0"/>
  <w15:docId w15:val="{4EA759B0-039A-41EF-93B6-76D10B0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Times New Roman" w:hAnsi="Times New Roman" w:cs="Times New Roman"/>
    </w:rPr>
  </w:style>
  <w:style w:type="character" w:styleId="Hyperlink">
    <w:name w:val="Hyperlink"/>
    <w:rPr>
      <w:rFonts w:ascii="Times New Roman" w:eastAsia="Times New Roman" w:hAnsi="Times New Roman" w:cs="Times New Roman"/>
      <w:color w:val="0000FF"/>
      <w:u w:val="single"/>
      <w:lang w:val="en-GB" w:eastAsia="en-GB"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bidi="ar-SA"/>
    </w:rPr>
  </w:style>
  <w:style w:type="paragraph" w:styleId="Header">
    <w:name w:val="header"/>
    <w:basedOn w:val="Normal"/>
    <w:link w:val="HeaderChar"/>
    <w:pPr>
      <w:tabs>
        <w:tab w:val="center" w:pos="4513"/>
        <w:tab w:val="right" w:pos="9026"/>
      </w:tabs>
    </w:pPr>
    <w:rPr>
      <w:rFonts w:ascii="Times New Roman" w:hAnsi="Times New Roman" w:cs="Times New Roman"/>
    </w:rPr>
  </w:style>
  <w:style w:type="character" w:customStyle="1" w:styleId="HeaderChar">
    <w:name w:val="Header Char"/>
    <w:link w:val="Header"/>
    <w:rPr>
      <w:rFonts w:ascii="Arial" w:eastAsia="Times New Roman" w:hAnsi="Arial" w:cs="Arial"/>
      <w:sz w:val="22"/>
      <w:szCs w:val="22"/>
      <w:lang w:val="en-GB" w:eastAsia="en-GB" w:bidi="ar-SA"/>
    </w:rPr>
  </w:style>
  <w:style w:type="paragraph" w:styleId="Footer">
    <w:name w:val="footer"/>
    <w:basedOn w:val="Normal"/>
    <w:link w:val="FooterChar"/>
    <w:uiPriority w:val="99"/>
    <w:pPr>
      <w:tabs>
        <w:tab w:val="center" w:pos="4513"/>
        <w:tab w:val="right" w:pos="9026"/>
      </w:tabs>
    </w:pPr>
    <w:rPr>
      <w:rFonts w:ascii="Times New Roman" w:hAnsi="Times New Roman" w:cs="Times New Roman"/>
    </w:rPr>
  </w:style>
  <w:style w:type="character" w:customStyle="1" w:styleId="FooterChar">
    <w:name w:val="Footer Char"/>
    <w:link w:val="Footer"/>
    <w:uiPriority w:val="99"/>
    <w:rPr>
      <w:rFonts w:ascii="Arial" w:eastAsia="Times New Roman" w:hAnsi="Arial" w:cs="Arial"/>
      <w:sz w:val="22"/>
      <w:szCs w:val="22"/>
      <w:lang w:val="en-GB" w:eastAsia="en-GB" w:bidi="ar-S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rFonts w:ascii="Times New Roman" w:eastAsia="Times New Roman" w:hAnsi="Times New Roman" w:cs="Times New Roman"/>
      <w:sz w:val="16"/>
      <w:szCs w:val="16"/>
      <w:lang w:val="en-GB" w:eastAsia="en-GB" w:bidi="ar-SA"/>
    </w:rPr>
  </w:style>
  <w:style w:type="paragraph" w:styleId="CommentText">
    <w:name w:val="annotation text"/>
    <w:basedOn w:val="Normal"/>
    <w:link w:val="CommentTextChar"/>
    <w:rPr>
      <w:rFonts w:ascii="Times New Roman" w:hAnsi="Times New Roman" w:cs="Times New Roman"/>
      <w:sz w:val="20"/>
      <w:szCs w:val="20"/>
    </w:rPr>
  </w:style>
  <w:style w:type="character" w:customStyle="1" w:styleId="CommentTextChar">
    <w:name w:val="Comment Text Char"/>
    <w:link w:val="CommentText"/>
    <w:rPr>
      <w:rFonts w:ascii="Arial" w:eastAsia="Times New Roman" w:hAnsi="Arial" w:cs="Arial"/>
      <w:lang w:val="en-GB" w:eastAsia="en-GB" w:bidi="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eastAsia="Times New Roman" w:hAnsi="Arial" w:cs="Arial"/>
      <w:b/>
      <w:bCs/>
      <w:lang w:val="en-GB" w:eastAsia="en-GB" w:bidi="ar-SA"/>
    </w:rPr>
  </w:style>
  <w:style w:type="paragraph" w:styleId="Revision">
    <w:name w:val="Revision"/>
    <w:rPr>
      <w:rFonts w:ascii="Arial" w:hAnsi="Arial" w:cs="Arial"/>
      <w:sz w:val="22"/>
      <w:szCs w:val="22"/>
    </w:rPr>
  </w:style>
  <w:style w:type="paragraph" w:styleId="FootnoteText">
    <w:name w:val="footnote text"/>
    <w:basedOn w:val="Normal"/>
    <w:link w:val="FootnoteTextChar"/>
    <w:rPr>
      <w:rFonts w:ascii="Times New Roman" w:hAnsi="Times New Roman" w:cs="Times New Roman"/>
      <w:sz w:val="20"/>
      <w:szCs w:val="20"/>
    </w:rPr>
  </w:style>
  <w:style w:type="character" w:customStyle="1" w:styleId="FootnoteTextChar">
    <w:name w:val="Footnote Text Char"/>
    <w:link w:val="FootnoteText"/>
    <w:rPr>
      <w:rFonts w:ascii="Arial" w:eastAsia="Times New Roman" w:hAnsi="Arial" w:cs="Arial"/>
      <w:lang w:val="en-GB" w:eastAsia="en-GB" w:bidi="ar-SA"/>
    </w:rPr>
  </w:style>
  <w:style w:type="character" w:styleId="FootnoteReference">
    <w:name w:val="footnote reference"/>
    <w:rPr>
      <w:rFonts w:ascii="Times New Roman" w:eastAsia="Times New Roman" w:hAnsi="Times New Roman" w:cs="Times New Roman"/>
      <w:vertAlign w:val="superscript"/>
      <w:lang w:val="en-GB" w:eastAsia="en-GB" w:bidi="ar-SA"/>
    </w:rPr>
  </w:style>
  <w:style w:type="paragraph" w:styleId="NoSpacing">
    <w:name w:val="No Spacing"/>
    <w:uiPriority w:val="1"/>
    <w:qFormat/>
    <w:rPr>
      <w:rFonts w:ascii="Arial" w:hAnsi="Arial"/>
      <w:sz w:val="24"/>
      <w:szCs w:val="22"/>
      <w:lang w:eastAsia="en-US"/>
    </w:rPr>
  </w:style>
  <w:style w:type="paragraph" w:styleId="PlainText">
    <w:name w:val="Plain Text"/>
    <w:basedOn w:val="Normal"/>
    <w:link w:val="PlainTextChar"/>
    <w:rPr>
      <w:rFonts w:ascii="Consolas" w:hAnsi="Consolas" w:cs="Times New Roman"/>
      <w:sz w:val="21"/>
      <w:szCs w:val="21"/>
      <w:lang w:eastAsia="en-US"/>
    </w:rPr>
  </w:style>
  <w:style w:type="character" w:customStyle="1" w:styleId="PlainTextChar">
    <w:name w:val="Plain Text Char"/>
    <w:link w:val="PlainText"/>
    <w:rPr>
      <w:rFonts w:ascii="Consolas" w:eastAsia="Times New Roman" w:hAnsi="Consolas" w:cs="Times New Roman"/>
      <w:sz w:val="21"/>
      <w:szCs w:val="21"/>
      <w:lang w:val="en-GB" w:eastAsia="en-US"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7DA2"/>
    <w:pPr>
      <w:spacing w:beforeLines="1" w:afterLines="1"/>
    </w:pPr>
    <w:rPr>
      <w:rFonts w:ascii="Times" w:eastAsiaTheme="minorHAnsi"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90422">
      <w:bodyDiv w:val="1"/>
      <w:marLeft w:val="0"/>
      <w:marRight w:val="0"/>
      <w:marTop w:val="0"/>
      <w:marBottom w:val="0"/>
      <w:divBdr>
        <w:top w:val="none" w:sz="0" w:space="0" w:color="auto"/>
        <w:left w:val="none" w:sz="0" w:space="0" w:color="auto"/>
        <w:bottom w:val="none" w:sz="0" w:space="0" w:color="auto"/>
        <w:right w:val="none" w:sz="0" w:space="0" w:color="auto"/>
      </w:divBdr>
    </w:div>
    <w:div w:id="696077967">
      <w:bodyDiv w:val="1"/>
      <w:marLeft w:val="0"/>
      <w:marRight w:val="0"/>
      <w:marTop w:val="0"/>
      <w:marBottom w:val="0"/>
      <w:divBdr>
        <w:top w:val="none" w:sz="0" w:space="0" w:color="auto"/>
        <w:left w:val="none" w:sz="0" w:space="0" w:color="auto"/>
        <w:bottom w:val="none" w:sz="0" w:space="0" w:color="auto"/>
        <w:right w:val="none" w:sz="0" w:space="0" w:color="auto"/>
      </w:divBdr>
    </w:div>
    <w:div w:id="16813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6F28-9726-4518-807D-A257EEE9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2688</Words>
  <Characters>14413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sean</dc:creator>
  <cp:keywords/>
  <cp:lastModifiedBy>Walker, Andy (OCE)</cp:lastModifiedBy>
  <cp:revision>6</cp:revision>
  <cp:lastPrinted>2016-01-14T12:43:00Z</cp:lastPrinted>
  <dcterms:created xsi:type="dcterms:W3CDTF">2016-01-15T10:57:00Z</dcterms:created>
  <dcterms:modified xsi:type="dcterms:W3CDTF">2016-01-15T13:02:00Z</dcterms:modified>
  <cp:version>15.000</cp:version>
</cp:coreProperties>
</file>